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B3FC" w14:textId="77777777" w:rsidR="008712E9" w:rsidRPr="008712E9" w:rsidRDefault="008712E9" w:rsidP="008712E9">
      <w:pPr>
        <w:pStyle w:val="Nagwek1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8712E9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Propozycja szczegółowego rozkładu materiału</w:t>
      </w:r>
    </w:p>
    <w:p w14:paraId="113CB3FD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113CB3FE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113CB3FF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113CB400" w14:textId="77777777" w:rsidR="008712E9" w:rsidRPr="008712E9" w:rsidRDefault="004B2FE7" w:rsidP="008712E9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Technikum</w:t>
      </w:r>
    </w:p>
    <w:p w14:paraId="113CB401" w14:textId="77777777" w:rsidR="008712E9" w:rsidRDefault="008712E9" w:rsidP="008712E9">
      <w:pPr>
        <w:pStyle w:val="Nagwek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proofErr w:type="spellStart"/>
      <w:r w:rsidRPr="008712E9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. ZAKRES PODSTAWOWY 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br/>
        <w:t xml:space="preserve">Klasa </w:t>
      </w:r>
      <w:r w:rsidR="00000CD4">
        <w:rPr>
          <w:rFonts w:ascii="Times New Roman" w:hAnsi="Times New Roman" w:cs="Times New Roman"/>
          <w:color w:val="auto"/>
          <w:sz w:val="40"/>
          <w:szCs w:val="40"/>
        </w:rPr>
        <w:t>V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(</w:t>
      </w:r>
      <w:r w:rsidR="004E03E3">
        <w:rPr>
          <w:rFonts w:ascii="Times New Roman" w:hAnsi="Times New Roman" w:cs="Times New Roman"/>
          <w:color w:val="auto"/>
          <w:sz w:val="40"/>
          <w:szCs w:val="40"/>
        </w:rPr>
        <w:t>84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h)</w:t>
      </w:r>
    </w:p>
    <w:p w14:paraId="113CB402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3CB403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4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5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6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7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8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113CB409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13CB40A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20EAF35" w14:textId="77777777" w:rsidR="00AA7175" w:rsidRPr="0053160C" w:rsidRDefault="00AA7175" w:rsidP="00AA7175">
      <w:pPr>
        <w:spacing w:after="120"/>
        <w:jc w:val="both"/>
        <w:rPr>
          <w:rFonts w:ascii="Times New Roman" w:hAnsi="Times New Roman" w:cs="Times New Roman"/>
          <w:iCs/>
          <w:lang w:eastAsia="en-US"/>
        </w:rPr>
      </w:pPr>
      <w:r w:rsidRPr="0053160C">
        <w:rPr>
          <w:rFonts w:ascii="Times New Roman" w:hAnsi="Times New Roman" w:cs="Times New Roman"/>
          <w:iCs/>
          <w:lang w:eastAsia="en-US"/>
        </w:rPr>
        <w:t>Uwzględnia zmiany z 2024 r. wynikające z uszczuplenia podstawy programowej.</w:t>
      </w:r>
    </w:p>
    <w:p w14:paraId="086427C6" w14:textId="77777777" w:rsidR="00AA7175" w:rsidRPr="0053160C" w:rsidRDefault="00AA7175" w:rsidP="00AA7175">
      <w:pPr>
        <w:keepNext/>
        <w:suppressAutoHyphens/>
        <w:spacing w:before="360" w:after="120"/>
        <w:contextualSpacing/>
        <w:outlineLvl w:val="1"/>
        <w:rPr>
          <w:rFonts w:ascii="Times New Roman" w:eastAsia="Times New Roman" w:hAnsi="Times New Roman" w:cs="Times New Roman"/>
          <w:bCs/>
          <w:i/>
          <w:szCs w:val="24"/>
          <w:shd w:val="clear" w:color="auto" w:fill="FFFFFF"/>
          <w:lang w:eastAsia="en-US"/>
        </w:rPr>
      </w:pPr>
      <w:r w:rsidRPr="0053160C">
        <w:rPr>
          <w:rFonts w:ascii="Times New Roman" w:eastAsia="Times New Roman" w:hAnsi="Times New Roman" w:cs="Times New Roman"/>
          <w:bCs/>
          <w:szCs w:val="24"/>
          <w:shd w:val="clear" w:color="auto" w:fill="FFFFFF"/>
          <w:lang w:eastAsia="en-US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53160C">
        <w:rPr>
          <w:rFonts w:ascii="Times New Roman" w:eastAsia="Times New Roman" w:hAnsi="Times New Roman" w:cs="Times New Roman"/>
          <w:bCs/>
          <w:i/>
          <w:szCs w:val="24"/>
          <w:shd w:val="clear" w:color="auto" w:fill="FFFFFF"/>
          <w:lang w:eastAsia="en-US"/>
        </w:rPr>
        <w:t>Ograniczony zakres treści nauczania – wymagań szczegółowych – da nauczycielom i uczniom więcej czasu na spokojniejszą i bardziej dogłębną realizację programów nauczania.</w:t>
      </w:r>
    </w:p>
    <w:p w14:paraId="05568E28" w14:textId="77777777" w:rsidR="00AA7175" w:rsidRPr="0053160C" w:rsidRDefault="00AA7175" w:rsidP="00AA7175">
      <w:pPr>
        <w:spacing w:after="120"/>
        <w:jc w:val="both"/>
        <w:rPr>
          <w:rFonts w:ascii="Cambria" w:hAnsi="Cambria" w:cs="Times New Roman"/>
          <w:iCs/>
          <w:lang w:eastAsia="en-US"/>
        </w:rPr>
      </w:pPr>
    </w:p>
    <w:p w14:paraId="113CB410" w14:textId="77777777" w:rsidR="008712E9" w:rsidRP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16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65"/>
        <w:gridCol w:w="1631"/>
      </w:tblGrid>
      <w:tr w:rsidR="00CD0149" w:rsidRPr="008712E9" w14:paraId="113CB413" w14:textId="77777777">
        <w:trPr>
          <w:trHeight w:val="56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3CB411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Temat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3CB412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Liczba godzin</w:t>
            </w:r>
          </w:p>
        </w:tc>
      </w:tr>
      <w:tr w:rsidR="00CD0149" w:rsidRPr="008712E9" w14:paraId="113CB416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14" w14:textId="77777777" w:rsidR="00CD0149" w:rsidRPr="009F016B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eastAsia="Times New Roman" w:hAnsi="Times New Roman" w:cs="Times New Roman"/>
              </w:rPr>
              <w:t>1.</w:t>
            </w:r>
            <w:r w:rsidR="009F016B">
              <w:rPr>
                <w:rFonts w:ascii="Times New Roman" w:eastAsia="Times New Roman" w:hAnsi="Times New Roman" w:cs="Times New Roman"/>
              </w:rPr>
              <w:t xml:space="preserve"> </w:t>
            </w:r>
            <w:r w:rsidR="004E03E3">
              <w:rPr>
                <w:rFonts w:ascii="Times New Roman" w:hAnsi="Times New Roman" w:cs="Times New Roman"/>
                <w:bCs/>
              </w:rPr>
              <w:t>Graniastosłupy i ostrosłupy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15" w14:textId="77777777" w:rsidR="00CD0149" w:rsidRPr="009F016B" w:rsidRDefault="0015718E" w:rsidP="00000C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C36B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74DDF" w:rsidRPr="008712E9" w14:paraId="113CB41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17" w14:textId="77777777" w:rsidR="00974DDF" w:rsidRPr="00000CD4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Proste i płaszczyzny w przestrzeni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18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DDF" w:rsidRPr="008712E9" w14:paraId="113CB41C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1A" w14:textId="77777777" w:rsidR="00974DDF" w:rsidRPr="00000CD4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Graniastosłupy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1B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1F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1D" w14:textId="77777777" w:rsidR="00974DDF" w:rsidRPr="00000CD4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Odcinki w graniastosłupach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1E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22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20" w14:textId="77777777" w:rsidR="00974DDF" w:rsidRPr="00000CD4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Objętość graniastosłupa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21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DDF" w:rsidRPr="008712E9" w14:paraId="113CB425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23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Ostrosłupy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24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28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26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Objętość ostrosłupa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27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2B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29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Kąt między prostą a płaszczyzną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2A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2E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2C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Kąt dwuścienny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2D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4DDF" w:rsidRPr="008712E9" w14:paraId="113CB434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32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Powtórzenie wiadomości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33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4DDF" w:rsidRPr="008712E9" w14:paraId="113CB437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35" w14:textId="77777777" w:rsidR="00974DDF" w:rsidRPr="0015718E" w:rsidRDefault="00974DDF" w:rsidP="00974D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36" w14:textId="77777777" w:rsidR="00974DDF" w:rsidRPr="009F016B" w:rsidRDefault="00974DDF" w:rsidP="00974DDF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113CB43A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38" w14:textId="77777777" w:rsidR="004E65BE" w:rsidRPr="00141012" w:rsidRDefault="004E65BE" w:rsidP="004E6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2. </w:t>
            </w:r>
            <w:r w:rsidR="004E03E3">
              <w:rPr>
                <w:rFonts w:ascii="Times New Roman" w:hAnsi="Times New Roman" w:cs="Times New Roman"/>
                <w:bCs/>
              </w:rPr>
              <w:t>Bryły obrotowe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39" w14:textId="77777777" w:rsidR="004E65BE" w:rsidRPr="00141012" w:rsidRDefault="00974DDF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E03E3" w:rsidRPr="008712E9" w14:paraId="113CB43D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3B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Walec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3C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40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3E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>Stożek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3F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43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41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Kula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42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46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44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Bryły podobne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45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4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47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lastRenderedPageBreak/>
              <w:t xml:space="preserve">Powtórzenie wiadomości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48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4C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44A" w14:textId="77777777" w:rsidR="004E03E3" w:rsidRPr="00B425E5" w:rsidRDefault="004E03E3" w:rsidP="004E03E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Praca klasowa i jej omówienie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B44B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113CB44F" w14:textId="77777777" w:rsidTr="00E43F26">
        <w:trPr>
          <w:trHeight w:val="489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4D" w14:textId="77777777" w:rsidR="004E65BE" w:rsidRPr="00141012" w:rsidRDefault="004E65BE" w:rsidP="004E65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3. </w:t>
            </w:r>
            <w:r w:rsidR="004E03E3" w:rsidRPr="00F1113C">
              <w:rPr>
                <w:rFonts w:ascii="Times New Roman" w:hAnsi="Times New Roman" w:cs="Times New Roman"/>
                <w:bCs/>
              </w:rPr>
              <w:t>Przykłady dowodów w matematyce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3CB44E" w14:textId="77777777" w:rsidR="004E65BE" w:rsidRPr="00F1113C" w:rsidRDefault="004E65BE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E03E3" w:rsidRPr="008712E9" w14:paraId="113CB452" w14:textId="77777777">
        <w:trPr>
          <w:trHeight w:val="48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450" w14:textId="77777777" w:rsidR="004E03E3" w:rsidRPr="00F1113C" w:rsidRDefault="004E03E3" w:rsidP="004E03E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algebrze (1)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B451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55" w14:textId="77777777">
        <w:trPr>
          <w:trHeight w:val="421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453" w14:textId="77777777" w:rsidR="004E03E3" w:rsidRPr="00F1113C" w:rsidRDefault="004E03E3" w:rsidP="004E03E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algebrze (2)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B454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58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456" w14:textId="77777777" w:rsidR="004E03E3" w:rsidRPr="00F1113C" w:rsidRDefault="004E03E3" w:rsidP="004E03E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Dowody nie wprost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B457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03E3" w:rsidRPr="008712E9" w14:paraId="113CB45B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459" w14:textId="77777777" w:rsidR="004E03E3" w:rsidRPr="00F1113C" w:rsidRDefault="004E03E3" w:rsidP="004E03E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geometrii (1)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B45A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03E3" w:rsidRPr="008712E9" w14:paraId="113CB45E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B45C" w14:textId="77777777" w:rsidR="004E03E3" w:rsidRPr="00F1113C" w:rsidRDefault="004E03E3" w:rsidP="004E03E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geometrii (2)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B45D" w14:textId="77777777" w:rsidR="004E03E3" w:rsidRPr="009F016B" w:rsidRDefault="004E03E3" w:rsidP="004E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65BE" w:rsidRPr="008712E9" w14:paraId="113CB461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5F" w14:textId="0A17EE9F" w:rsidR="004E65BE" w:rsidRPr="009F016B" w:rsidRDefault="007B608B" w:rsidP="009D0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41012">
              <w:rPr>
                <w:rFonts w:ascii="Times New Roman" w:eastAsia="Times New Roman" w:hAnsi="Times New Roman" w:cs="Times New Roman"/>
              </w:rPr>
              <w:t xml:space="preserve">. </w:t>
            </w:r>
            <w:r w:rsidRPr="00985992">
              <w:rPr>
                <w:rFonts w:ascii="Times New Roman" w:hAnsi="Times New Roman" w:cs="Times New Roman"/>
              </w:rPr>
              <w:t>Powtórzenie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60" w14:textId="6B803B16" w:rsidR="004E65BE" w:rsidRPr="007B608B" w:rsidRDefault="00974DDF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608B">
              <w:rPr>
                <w:rFonts w:ascii="Times New Roman" w:eastAsia="Times New Roman" w:hAnsi="Times New Roman" w:cs="Times New Roman"/>
              </w:rPr>
              <w:t>4</w:t>
            </w:r>
            <w:r w:rsidR="00716F4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16F44" w:rsidRPr="008712E9" w14:paraId="7BC47CD2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E7D57" w14:textId="79622883" w:rsidR="00716F44" w:rsidRDefault="00716F44" w:rsidP="00716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3199">
              <w:rPr>
                <w:rFonts w:ascii="Times New Roman" w:hAnsi="Times New Roman" w:cs="Times New Roman"/>
              </w:rPr>
              <w:t>Godziny do dyspozycji nauczyciela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B3D88" w14:textId="45B92BF7" w:rsidR="00716F44" w:rsidRPr="007B608B" w:rsidRDefault="00716F44" w:rsidP="004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D0210" w:rsidRPr="008712E9" w14:paraId="113CB464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62" w14:textId="77777777" w:rsidR="009D0210" w:rsidRPr="009F016B" w:rsidRDefault="009D0210" w:rsidP="00066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B463" w14:textId="77777777" w:rsidR="009D0210" w:rsidRDefault="00974DDF" w:rsidP="009D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</w:tr>
    </w:tbl>
    <w:p w14:paraId="113CB465" w14:textId="77777777" w:rsidR="00CD0149" w:rsidRPr="008712E9" w:rsidRDefault="00CD0149">
      <w:pPr>
        <w:tabs>
          <w:tab w:val="left" w:pos="9554"/>
        </w:tabs>
        <w:rPr>
          <w:rFonts w:ascii="Times New Roman" w:eastAsia="Times New Roman" w:hAnsi="Times New Roman" w:cs="Times New Roman"/>
        </w:rPr>
      </w:pPr>
    </w:p>
    <w:sectPr w:rsidR="00CD0149" w:rsidRPr="008712E9" w:rsidSect="009243A7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B46"/>
    <w:multiLevelType w:val="hybridMultilevel"/>
    <w:tmpl w:val="DC4866FE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378A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205F99"/>
    <w:multiLevelType w:val="multilevel"/>
    <w:tmpl w:val="FC6EC2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0FAE"/>
    <w:multiLevelType w:val="hybridMultilevel"/>
    <w:tmpl w:val="8D547AAA"/>
    <w:lvl w:ilvl="0" w:tplc="3ECA27D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267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37249B"/>
    <w:multiLevelType w:val="multilevel"/>
    <w:tmpl w:val="09A8B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2680C"/>
    <w:multiLevelType w:val="multilevel"/>
    <w:tmpl w:val="A2D074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3CE1"/>
    <w:multiLevelType w:val="multilevel"/>
    <w:tmpl w:val="6B004D0A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143F4"/>
    <w:multiLevelType w:val="hybridMultilevel"/>
    <w:tmpl w:val="C87E38A2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D37CDA"/>
    <w:multiLevelType w:val="hybridMultilevel"/>
    <w:tmpl w:val="0A7C98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FF50BD"/>
    <w:multiLevelType w:val="hybridMultilevel"/>
    <w:tmpl w:val="69925E52"/>
    <w:lvl w:ilvl="0" w:tplc="4D8A28EA">
      <w:start w:val="1"/>
      <w:numFmt w:val="decimal"/>
      <w:lvlText w:val="%1."/>
      <w:lvlJc w:val="righ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1" w15:restartNumberingAfterBreak="0">
    <w:nsid w:val="7F5C3E98"/>
    <w:multiLevelType w:val="multilevel"/>
    <w:tmpl w:val="0B725F14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9"/>
    <w:rsid w:val="00000CD4"/>
    <w:rsid w:val="00066A83"/>
    <w:rsid w:val="00141012"/>
    <w:rsid w:val="0015718E"/>
    <w:rsid w:val="001A6E70"/>
    <w:rsid w:val="001D471D"/>
    <w:rsid w:val="00425784"/>
    <w:rsid w:val="004B2FE7"/>
    <w:rsid w:val="004E03E3"/>
    <w:rsid w:val="004E65BE"/>
    <w:rsid w:val="00557455"/>
    <w:rsid w:val="005F18C0"/>
    <w:rsid w:val="005F22BF"/>
    <w:rsid w:val="00636C50"/>
    <w:rsid w:val="00716F44"/>
    <w:rsid w:val="007B608B"/>
    <w:rsid w:val="007D6285"/>
    <w:rsid w:val="008712E9"/>
    <w:rsid w:val="008F5070"/>
    <w:rsid w:val="009243A7"/>
    <w:rsid w:val="00974D8C"/>
    <w:rsid w:val="00974DDF"/>
    <w:rsid w:val="00985992"/>
    <w:rsid w:val="009D0210"/>
    <w:rsid w:val="009F016B"/>
    <w:rsid w:val="00AA7175"/>
    <w:rsid w:val="00B36E55"/>
    <w:rsid w:val="00B425E5"/>
    <w:rsid w:val="00C011DA"/>
    <w:rsid w:val="00C619D4"/>
    <w:rsid w:val="00CD0149"/>
    <w:rsid w:val="00CD0E42"/>
    <w:rsid w:val="00CF4915"/>
    <w:rsid w:val="00D66135"/>
    <w:rsid w:val="00E35F46"/>
    <w:rsid w:val="00E43F26"/>
    <w:rsid w:val="00EC36B9"/>
    <w:rsid w:val="00F1113C"/>
    <w:rsid w:val="00F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B3FC"/>
  <w15:docId w15:val="{5742B067-D2E9-46F7-93A0-CAB18751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3A7"/>
  </w:style>
  <w:style w:type="paragraph" w:styleId="Nagwek1">
    <w:name w:val="heading 1"/>
    <w:basedOn w:val="Normalny"/>
    <w:next w:val="Normalny"/>
    <w:uiPriority w:val="9"/>
    <w:qFormat/>
    <w:rsid w:val="009243A7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9243A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24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24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243A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24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24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243A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924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43A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3A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3A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E9"/>
    <w:rPr>
      <w:rFonts w:ascii="Segoe UI" w:hAnsi="Segoe UI" w:cs="Segoe UI"/>
      <w:sz w:val="18"/>
      <w:szCs w:val="18"/>
    </w:rPr>
  </w:style>
  <w:style w:type="paragraph" w:customStyle="1" w:styleId="TytulArial20">
    <w:name w:val="Tytul Arial 20"/>
    <w:basedOn w:val="Nagwek2"/>
    <w:link w:val="TytulArial20Znak"/>
    <w:qFormat/>
    <w:rsid w:val="008712E9"/>
    <w:rPr>
      <w:rFonts w:ascii="Arial" w:eastAsia="Times New Roman" w:hAnsi="Arial" w:cs="Arial"/>
      <w:bCs/>
      <w:color w:val="92D050"/>
      <w:sz w:val="40"/>
      <w:szCs w:val="40"/>
      <w:lang w:eastAsia="en-US"/>
    </w:rPr>
  </w:style>
  <w:style w:type="character" w:customStyle="1" w:styleId="TytulArial20Znak">
    <w:name w:val="Tytul Arial 20 Znak"/>
    <w:basedOn w:val="Domylnaczcionkaakapitu"/>
    <w:link w:val="TytulArial20"/>
    <w:rsid w:val="008712E9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paragraph" w:styleId="Akapitzlist">
    <w:name w:val="List Paragraph"/>
    <w:basedOn w:val="Normalny"/>
    <w:uiPriority w:val="34"/>
    <w:qFormat/>
    <w:rsid w:val="009F016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66862EBC-01FC-4FA9-A52E-1E1323E28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A4D75-D289-46D4-895C-DAAEDE2E6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AFA83-CD52-420A-BF28-9396EADB55BD}">
  <ds:schemaRefs>
    <ds:schemaRef ds:uri="http://schemas.microsoft.com/office/2006/documentManagement/types"/>
    <ds:schemaRef ds:uri="f9c03475-987a-401d-8ac4-a8b320586573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9d6bc27-f2bd-4049-a395-4b9f275af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Zajac</dc:creator>
  <cp:lastModifiedBy>Beata Zajac</cp:lastModifiedBy>
  <cp:revision>5</cp:revision>
  <dcterms:created xsi:type="dcterms:W3CDTF">2024-09-05T10:34:00Z</dcterms:created>
  <dcterms:modified xsi:type="dcterms:W3CDTF">2024-09-05T10:39:00Z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