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3D" w:rsidRPr="00CA573D" w:rsidRDefault="00CA573D">
      <w:pPr>
        <w:rPr>
          <w:b/>
        </w:rPr>
      </w:pPr>
      <w:r w:rsidRPr="00CA573D">
        <w:rPr>
          <w:b/>
        </w:rPr>
        <w:t>W centrum uwagi. Wiedza o społeczeństwie. Zakres podstawowy</w:t>
      </w:r>
    </w:p>
    <w:p w:rsidR="00040809" w:rsidRPr="00CA573D" w:rsidRDefault="003B388B">
      <w:pPr>
        <w:rPr>
          <w:b/>
          <w:sz w:val="32"/>
          <w:szCs w:val="32"/>
        </w:rPr>
      </w:pPr>
      <w:r w:rsidRPr="00CA573D">
        <w:rPr>
          <w:b/>
          <w:sz w:val="32"/>
          <w:szCs w:val="32"/>
        </w:rPr>
        <w:t>Rozkład materiału</w:t>
      </w:r>
      <w:r w:rsidR="00CA573D" w:rsidRPr="00CA573D">
        <w:rPr>
          <w:b/>
          <w:sz w:val="32"/>
          <w:szCs w:val="32"/>
        </w:rPr>
        <w:t xml:space="preserve"> </w:t>
      </w:r>
    </w:p>
    <w:tbl>
      <w:tblPr>
        <w:tblW w:w="486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0"/>
        <w:gridCol w:w="3912"/>
        <w:gridCol w:w="3020"/>
      </w:tblGrid>
      <w:tr w:rsidR="003B388B" w:rsidTr="00E226C9">
        <w:tc>
          <w:tcPr>
            <w:tcW w:w="300" w:type="pct"/>
            <w:vMerge w:val="restart"/>
            <w:shd w:val="clear" w:color="auto" w:fill="F2F2F2"/>
          </w:tcPr>
          <w:p w:rsidR="003B388B" w:rsidRPr="006553C4" w:rsidRDefault="003B388B" w:rsidP="00E226C9">
            <w:pPr>
              <w:pStyle w:val="TabelaszerokaNagwek1"/>
              <w:jc w:val="center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Lp.</w:t>
            </w:r>
          </w:p>
        </w:tc>
        <w:tc>
          <w:tcPr>
            <w:tcW w:w="766" w:type="pct"/>
            <w:vMerge w:val="restart"/>
            <w:shd w:val="clear" w:color="auto" w:fill="F2F2F2"/>
          </w:tcPr>
          <w:p w:rsidR="003B388B" w:rsidRPr="006553C4" w:rsidRDefault="003B388B" w:rsidP="00E226C9">
            <w:pPr>
              <w:pStyle w:val="TabelaszerokaNagwek1"/>
              <w:jc w:val="center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TEMAT</w:t>
            </w:r>
          </w:p>
        </w:tc>
        <w:tc>
          <w:tcPr>
            <w:tcW w:w="2220" w:type="pct"/>
            <w:shd w:val="clear" w:color="auto" w:fill="F2F2F2"/>
          </w:tcPr>
          <w:p w:rsidR="003B388B" w:rsidRPr="006553C4" w:rsidRDefault="003B388B" w:rsidP="00E226C9">
            <w:pPr>
              <w:pStyle w:val="TabelaszerokaNagwek1"/>
              <w:jc w:val="center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Zagadnienia</w:t>
            </w:r>
          </w:p>
        </w:tc>
        <w:tc>
          <w:tcPr>
            <w:tcW w:w="1714" w:type="pct"/>
            <w:vMerge w:val="restart"/>
            <w:shd w:val="clear" w:color="auto" w:fill="F2F2F2"/>
          </w:tcPr>
          <w:p w:rsidR="003B388B" w:rsidRPr="006553C4" w:rsidRDefault="003B388B" w:rsidP="00E226C9">
            <w:pPr>
              <w:pStyle w:val="TabelaszerokaNagwek1"/>
              <w:jc w:val="center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PUNKT z NPP</w:t>
            </w:r>
          </w:p>
        </w:tc>
      </w:tr>
      <w:tr w:rsidR="003B388B" w:rsidTr="00E226C9">
        <w:tc>
          <w:tcPr>
            <w:tcW w:w="300" w:type="pct"/>
            <w:vMerge/>
            <w:shd w:val="clear" w:color="auto" w:fill="F2F2F2"/>
          </w:tcPr>
          <w:p w:rsidR="003B388B" w:rsidRPr="006553C4" w:rsidRDefault="003B388B" w:rsidP="00E226C9">
            <w:pPr>
              <w:pStyle w:val="TabelaszerokaNagwek1"/>
              <w:jc w:val="center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766" w:type="pct"/>
            <w:vMerge/>
            <w:shd w:val="clear" w:color="auto" w:fill="F2F2F2"/>
          </w:tcPr>
          <w:p w:rsidR="003B388B" w:rsidRPr="006553C4" w:rsidRDefault="003B388B" w:rsidP="00E226C9">
            <w:pPr>
              <w:pStyle w:val="TabelaszerokaNagwek1"/>
              <w:jc w:val="center"/>
              <w:rPr>
                <w:rFonts w:ascii="Cambria" w:hAnsi="Cambria"/>
                <w:iCs/>
                <w:sz w:val="24"/>
                <w:szCs w:val="24"/>
                <w:lang w:val="pl-PL"/>
              </w:rPr>
            </w:pPr>
          </w:p>
        </w:tc>
        <w:tc>
          <w:tcPr>
            <w:tcW w:w="2220" w:type="pct"/>
            <w:shd w:val="clear" w:color="auto" w:fill="F2F2F2"/>
          </w:tcPr>
          <w:p w:rsidR="003B388B" w:rsidRPr="006553C4" w:rsidRDefault="003B388B" w:rsidP="00E226C9">
            <w:pPr>
              <w:pStyle w:val="TabelaszerokaNagwek1"/>
              <w:jc w:val="center"/>
              <w:rPr>
                <w:rFonts w:ascii="Cambria" w:hAnsi="Cambria"/>
                <w:iCs/>
                <w:sz w:val="24"/>
                <w:szCs w:val="24"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Rozdział I. CZŁOWIEK I SPOŁECZEŃSTWO</w:t>
            </w:r>
          </w:p>
        </w:tc>
        <w:tc>
          <w:tcPr>
            <w:tcW w:w="1714" w:type="pct"/>
            <w:vMerge/>
            <w:shd w:val="clear" w:color="auto" w:fill="F2F2F2"/>
          </w:tcPr>
          <w:p w:rsidR="003B388B" w:rsidRPr="006553C4" w:rsidRDefault="003B388B" w:rsidP="00E226C9">
            <w:pPr>
              <w:pStyle w:val="TabelaszerokaNagwek1"/>
              <w:jc w:val="center"/>
              <w:rPr>
                <w:rFonts w:ascii="Cambria" w:hAnsi="Cambria"/>
                <w:iCs/>
                <w:sz w:val="24"/>
                <w:szCs w:val="24"/>
                <w:lang w:val="pl-PL"/>
              </w:rPr>
            </w:pPr>
          </w:p>
        </w:tc>
      </w:tr>
      <w:tr w:rsidR="003B388B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1.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Życie społeczne </w:t>
            </w: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Potrzeby człowieka: 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typologia i hierarchia potrzeb,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dynamika potrzeb, np. w procesie rozwoju osobowości człowieka,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potrzeby a postawy i działania człowieka,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skutki psychologiczne i społeczne niezaspokajania potrzeb.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Wartości: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klasyfikacja i hierarchia wartości,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źródła i mechanizmy kształtowania wartości,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społeczne funkcjonowanie wartości we współczesnym świecie</w:t>
            </w:r>
            <w:r>
              <w:rPr>
                <w:rFonts w:ascii="Cambria" w:hAnsi="Cambria"/>
                <w:iCs/>
                <w:lang w:val="pl-PL"/>
              </w:rPr>
              <w:t>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Normy i formy kontroli społecznej – analiza problemu na przykładach dotyczących konkretnych grup społecznych: rodziny, grupy rówieśniczej, klasy szkolnej, społeczności lokalnej itp.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I. Człowiek i społeczeństwo. Uczeń: </w:t>
            </w:r>
          </w:p>
          <w:p w:rsidR="003B388B" w:rsidRPr="006553C4" w:rsidRDefault="003B388B" w:rsidP="00E226C9">
            <w:pPr>
              <w:pStyle w:val="TabelaszerokaNormalny"/>
              <w:rPr>
                <w:iCs/>
                <w:sz w:val="23"/>
                <w:szCs w:val="23"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1) wyjaśnia, czym są potrzeby człowieka i ustala ich hierarchię, uwzględniając społecznie akceptowany system aksjologiczny;</w:t>
            </w:r>
            <w:r w:rsidRPr="006553C4">
              <w:rPr>
                <w:iCs/>
                <w:sz w:val="23"/>
                <w:szCs w:val="23"/>
                <w:lang w:val="pl-PL"/>
              </w:rPr>
              <w:t xml:space="preserve">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sz w:val="24"/>
                <w:szCs w:val="24"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4) przedstawia – z wykorzystaniem wyników badań opinii publicznej – katalog wartości afirmowanych w społeczeństwie polskim i dokonuje jego analizy; analizuje rolę wartości w światopoglądzie.</w:t>
            </w:r>
          </w:p>
        </w:tc>
      </w:tr>
      <w:tr w:rsidR="003B388B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 xml:space="preserve">  </w:t>
            </w:r>
            <w:r>
              <w:rPr>
                <w:rFonts w:ascii="Cambria" w:hAnsi="Cambria"/>
                <w:b/>
                <w:iCs/>
                <w:lang w:val="pl-PL"/>
              </w:rPr>
              <w:t>2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Grupy i role społeczne</w:t>
            </w: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Grupa społeczna:</w:t>
            </w:r>
          </w:p>
          <w:p w:rsidR="003B388B" w:rsidRPr="006553C4" w:rsidRDefault="003B388B" w:rsidP="00E226C9">
            <w:pPr>
              <w:pStyle w:val="TabelaszerokaNormalny"/>
              <w:ind w:left="210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cechy grup społecznych,</w:t>
            </w:r>
          </w:p>
          <w:p w:rsidR="003B388B" w:rsidRPr="006553C4" w:rsidRDefault="003B388B" w:rsidP="00E226C9">
            <w:pPr>
              <w:pStyle w:val="TabelaszerokaNormalny"/>
              <w:ind w:left="210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 xml:space="preserve">– typologia grup społecznych ze względu na liczebność, </w:t>
            </w:r>
            <w:r>
              <w:rPr>
                <w:rFonts w:ascii="Cambria" w:hAnsi="Cambria" w:cs="Calibri"/>
                <w:iCs/>
                <w:lang w:val="pl-PL"/>
              </w:rPr>
              <w:t>rodzaj</w:t>
            </w:r>
            <w:r w:rsidRPr="006553C4">
              <w:rPr>
                <w:rFonts w:ascii="Cambria" w:hAnsi="Cambria" w:cs="Calibri"/>
                <w:iCs/>
                <w:lang w:val="pl-PL"/>
              </w:rPr>
              <w:t xml:space="preserve"> więzi, ,</w:t>
            </w:r>
          </w:p>
          <w:p w:rsidR="003B388B" w:rsidRPr="006553C4" w:rsidRDefault="003B388B" w:rsidP="00E226C9">
            <w:pPr>
              <w:pStyle w:val="TabelaszerokaNormalny"/>
              <w:ind w:left="210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dynamika procesów grupowych</w:t>
            </w:r>
            <w:r>
              <w:rPr>
                <w:rFonts w:ascii="Cambria" w:hAnsi="Cambria" w:cs="Calibri"/>
                <w:iCs/>
                <w:lang w:val="pl-PL"/>
              </w:rPr>
              <w:t xml:space="preserve"> (</w:t>
            </w:r>
            <w:r w:rsidRPr="006553C4">
              <w:rPr>
                <w:rFonts w:ascii="Cambria" w:hAnsi="Cambria" w:cs="Calibri"/>
                <w:iCs/>
                <w:lang w:val="pl-PL"/>
              </w:rPr>
              <w:t>np. rodzaje interakcji, więzi społeczne, proces komunikacji społecznej, normy grupowe, mechanizmy wywierania wpływu</w:t>
            </w:r>
            <w:r>
              <w:rPr>
                <w:rFonts w:ascii="Cambria" w:hAnsi="Cambria" w:cs="Calibri"/>
                <w:iCs/>
                <w:lang w:val="pl-PL"/>
              </w:rPr>
              <w:t>)</w:t>
            </w:r>
            <w:r w:rsidRPr="006553C4">
              <w:rPr>
                <w:rFonts w:ascii="Cambria" w:hAnsi="Cambria" w:cs="Calibri"/>
                <w:iCs/>
                <w:lang w:val="pl-PL"/>
              </w:rPr>
              <w:t>,</w:t>
            </w:r>
          </w:p>
          <w:p w:rsidR="003B388B" w:rsidRPr="006553C4" w:rsidRDefault="003B388B" w:rsidP="00E226C9">
            <w:pPr>
              <w:pStyle w:val="TabelaszerokaNormalny"/>
              <w:ind w:left="210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znaczenie zasad wzajemności, zaufania i pomocy w funkcjonowaniu grup społecznych.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Role społeczne: 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dynamika ról społecznych, związana np. z etapami życia i rozwoju człowieka,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role społeczne a społecznie akceptowany system wartości,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społeczne postrzeganie ról społecznych, np. dawniej i współcześnie, w różnych warstwach społecznych czy kręgach kulturowych,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lastRenderedPageBreak/>
              <w:t xml:space="preserve">– problemy związane z realizacją ról społecznych (np. konflikt ról społecznych). 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Postawa konformistyczna i nonkonformistyczna: cechy obu postaw, przykłady, skutki społeczne, analiza wad i zalet danej postawy w różnych kontekstach społecznych.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000000"/>
                <w:lang w:val="pl-PL"/>
              </w:rPr>
            </w:pPr>
            <w:r w:rsidRPr="006553C4">
              <w:rPr>
                <w:rFonts w:ascii="Cambria" w:hAnsi="Cambria"/>
                <w:iCs/>
                <w:color w:val="000000"/>
                <w:lang w:val="pl-PL"/>
              </w:rPr>
              <w:lastRenderedPageBreak/>
              <w:t>I. Człowiek i społeczeństwo. Uczeń: […]</w:t>
            </w:r>
          </w:p>
          <w:p w:rsidR="003B388B" w:rsidRPr="006553C4" w:rsidRDefault="003B388B" w:rsidP="00E226C9">
            <w:pPr>
              <w:pStyle w:val="TabelaszerokaNormalny"/>
              <w:rPr>
                <w:iCs/>
                <w:color w:val="000000"/>
                <w:sz w:val="23"/>
                <w:szCs w:val="23"/>
                <w:lang w:val="pl-PL"/>
              </w:rPr>
            </w:pPr>
            <w:r w:rsidRPr="006553C4">
              <w:rPr>
                <w:rFonts w:ascii="Cambria" w:hAnsi="Cambria"/>
                <w:iCs/>
                <w:color w:val="000000"/>
                <w:lang w:val="pl-PL"/>
              </w:rPr>
              <w:t>3) charakteryzuje role społeczne człowieka w związku z jego przynależnością do różnych grup społecznych; analizuje zasady wzajemności, zaufania i pomocy</w:t>
            </w:r>
            <w:r>
              <w:rPr>
                <w:rFonts w:ascii="Cambria" w:hAnsi="Cambria"/>
                <w:iCs/>
                <w:color w:val="000000"/>
                <w:lang w:val="pl-PL"/>
              </w:rPr>
              <w:t>;</w:t>
            </w:r>
            <w:r w:rsidRPr="006553C4">
              <w:rPr>
                <w:iCs/>
                <w:color w:val="000000"/>
                <w:sz w:val="23"/>
                <w:szCs w:val="23"/>
                <w:lang w:val="pl-PL"/>
              </w:rPr>
              <w:t xml:space="preserve"> 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iCs/>
                <w:color w:val="000000"/>
                <w:sz w:val="23"/>
                <w:szCs w:val="23"/>
                <w:lang w:val="pl-PL"/>
              </w:rPr>
              <w:t xml:space="preserve">5) […] </w:t>
            </w:r>
            <w:r w:rsidRPr="006553C4">
              <w:rPr>
                <w:rFonts w:ascii="Cambria" w:hAnsi="Cambria"/>
                <w:iCs/>
                <w:color w:val="000000"/>
                <w:lang w:val="pl-PL"/>
              </w:rPr>
              <w:t>analizuje przypadki oraz przedstawia zalety i wady konformizmu i nonkonformizmu.</w:t>
            </w:r>
          </w:p>
        </w:tc>
      </w:tr>
      <w:tr w:rsidR="003B388B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color w:val="C00000"/>
                <w:lang w:val="pl-PL"/>
              </w:rPr>
            </w:pPr>
            <w:r>
              <w:rPr>
                <w:rFonts w:ascii="Cambria" w:hAnsi="Cambria"/>
                <w:b/>
                <w:iCs/>
                <w:lang w:val="pl-PL"/>
              </w:rPr>
              <w:t>3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Socjalizacja</w:t>
            </w: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Charakter procesu socjalizacji.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Etapy socjalizacji: 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socjalizacja pierwotna,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0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socjalizacja wtórna.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000000"/>
                <w:lang w:val="pl-PL"/>
              </w:rPr>
            </w:pPr>
            <w:r w:rsidRPr="006553C4">
              <w:rPr>
                <w:rFonts w:ascii="Cambria" w:hAnsi="Cambria"/>
                <w:iCs/>
                <w:color w:val="000000"/>
                <w:lang w:val="pl-PL"/>
              </w:rPr>
              <w:t>I. Człowiek i społeczeństwo.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color w:val="000000"/>
                <w:lang w:val="pl-PL"/>
              </w:rPr>
              <w:t>5) wyjaśnia charakter procesu socjalizacji; podaje przykłady wpływu społecznego w różnych dziedzinach życia.</w:t>
            </w:r>
          </w:p>
        </w:tc>
      </w:tr>
      <w:tr w:rsidR="003B388B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>
              <w:rPr>
                <w:rFonts w:ascii="Cambria" w:hAnsi="Cambria"/>
                <w:b/>
                <w:iCs/>
                <w:lang w:val="pl-PL"/>
              </w:rPr>
              <w:t>4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Rodzina </w:t>
            </w: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Rodzina jako podstawowa grupa społeczna we współczesnym społeczeństwie: 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rodzina w rozumieniu socjologicznym i prawnym,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typologia współczesnych rodzin,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podstawowe funkcje rodziny i formy ich realizacji,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rola rodziny w kształtowaniu systemu wartości człowieka,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kształtowanie i umacnianie więzi rodzinnych,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problemy związane z realizacją różnych funkcji rodziny we współczesnej Polsce.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000000"/>
                <w:lang w:val="pl-PL"/>
              </w:rPr>
            </w:pPr>
            <w:r w:rsidRPr="006553C4">
              <w:rPr>
                <w:rFonts w:ascii="Cambria" w:hAnsi="Cambria"/>
                <w:iCs/>
                <w:color w:val="000000"/>
                <w:lang w:val="pl-PL"/>
              </w:rPr>
              <w:t>I. Człowiek i społeczeństwo.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000000"/>
                <w:lang w:val="pl-PL"/>
              </w:rPr>
            </w:pPr>
            <w:r w:rsidRPr="006553C4">
              <w:rPr>
                <w:rFonts w:ascii="Cambria" w:hAnsi="Cambria"/>
                <w:iCs/>
                <w:color w:val="000000"/>
                <w:lang w:val="pl-PL"/>
              </w:rPr>
              <w:t xml:space="preserve">2) charakteryzuje – z wykorzystaniem wyników badań opinii publicznej – współczesne typy rodziny; wyjaśnia problemy związane z realizacją różnych funkcji rodziny w Rzeczypospolitej Polskiej. 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000000"/>
                <w:lang w:val="pl-PL"/>
              </w:rPr>
            </w:pPr>
          </w:p>
        </w:tc>
      </w:tr>
      <w:tr w:rsidR="003B388B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color w:val="FF0000"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 xml:space="preserve">5. 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Podziały społeczne </w:t>
            </w:r>
            <w:r>
              <w:rPr>
                <w:rFonts w:ascii="Cambria" w:hAnsi="Cambria"/>
                <w:iCs/>
                <w:lang w:val="pl-PL"/>
              </w:rPr>
              <w:t>i stygmatyzacja</w:t>
            </w:r>
          </w:p>
        </w:tc>
        <w:tc>
          <w:tcPr>
            <w:tcW w:w="2220" w:type="pct"/>
          </w:tcPr>
          <w:p w:rsidR="003B388B" w:rsidRPr="00B5379E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>Postawy wobec obcości i inności:</w:t>
            </w:r>
          </w:p>
          <w:p w:rsidR="003B388B" w:rsidRPr="00B5379E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84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>– uprzedzenie,</w:t>
            </w:r>
          </w:p>
          <w:p w:rsidR="003B388B" w:rsidRPr="00B5379E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84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 xml:space="preserve">– dyskryminacja, </w:t>
            </w:r>
          </w:p>
          <w:p w:rsidR="003B388B" w:rsidRPr="00B5379E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84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 xml:space="preserve">– stygmatyzacja. </w:t>
            </w:r>
          </w:p>
          <w:p w:rsidR="003B388B" w:rsidRPr="00B5379E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 xml:space="preserve">Społeczna natura obcości i inności: </w:t>
            </w:r>
          </w:p>
          <w:p w:rsidR="003B388B" w:rsidRPr="00B5379E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>–</w:t>
            </w:r>
            <w:r w:rsidRPr="00B5379E">
              <w:rPr>
                <w:rFonts w:ascii="Cambria" w:hAnsi="Cambria"/>
                <w:i/>
                <w:iCs/>
                <w:lang w:val="pl-PL"/>
              </w:rPr>
              <w:t xml:space="preserve"> </w:t>
            </w:r>
            <w:r w:rsidRPr="00B5379E">
              <w:rPr>
                <w:rFonts w:ascii="Cambria" w:hAnsi="Cambria"/>
                <w:iCs/>
                <w:lang w:val="pl-PL"/>
              </w:rPr>
              <w:t xml:space="preserve">znaczenie pojęć: </w:t>
            </w:r>
            <w:r w:rsidRPr="00B5379E">
              <w:rPr>
                <w:rFonts w:ascii="Cambria" w:hAnsi="Cambria"/>
                <w:i/>
                <w:iCs/>
                <w:lang w:val="pl-PL"/>
              </w:rPr>
              <w:t>swojskość</w:t>
            </w:r>
            <w:r w:rsidRPr="00B5379E">
              <w:rPr>
                <w:rFonts w:ascii="Cambria" w:hAnsi="Cambria"/>
                <w:iCs/>
                <w:lang w:val="pl-PL"/>
              </w:rPr>
              <w:t xml:space="preserve">, </w:t>
            </w:r>
            <w:r w:rsidRPr="00B5379E">
              <w:rPr>
                <w:rFonts w:ascii="Cambria" w:hAnsi="Cambria"/>
                <w:i/>
                <w:iCs/>
                <w:lang w:val="pl-PL"/>
              </w:rPr>
              <w:t>obcość</w:t>
            </w:r>
            <w:r w:rsidRPr="00B5379E">
              <w:rPr>
                <w:rFonts w:ascii="Cambria" w:hAnsi="Cambria"/>
                <w:iCs/>
                <w:lang w:val="pl-PL"/>
              </w:rPr>
              <w:t xml:space="preserve">, </w:t>
            </w:r>
            <w:r w:rsidRPr="00B5379E">
              <w:rPr>
                <w:rFonts w:ascii="Cambria" w:hAnsi="Cambria"/>
                <w:i/>
                <w:iCs/>
                <w:lang w:val="pl-PL"/>
              </w:rPr>
              <w:t>inność</w:t>
            </w:r>
            <w:r w:rsidRPr="00B5379E">
              <w:rPr>
                <w:rFonts w:ascii="Cambria" w:hAnsi="Cambria"/>
                <w:iCs/>
                <w:lang w:val="pl-PL"/>
              </w:rPr>
              <w:t>,</w:t>
            </w:r>
          </w:p>
          <w:p w:rsidR="003B388B" w:rsidRPr="00B5379E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 xml:space="preserve">Psychologiczne i społeczne skutki stygmatyzacji. </w:t>
            </w:r>
          </w:p>
          <w:p w:rsidR="003B388B" w:rsidRPr="00B5379E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000000"/>
                <w:lang w:val="pl-PL"/>
              </w:rPr>
            </w:pPr>
            <w:r w:rsidRPr="006553C4">
              <w:rPr>
                <w:rFonts w:ascii="Cambria" w:hAnsi="Cambria"/>
                <w:iCs/>
                <w:color w:val="000000"/>
                <w:lang w:val="pl-PL"/>
              </w:rPr>
              <w:t>I. Człowiek i społeczeństwo.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strike/>
                <w:sz w:val="24"/>
                <w:szCs w:val="24"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6) […] wyjaśnia, jak tworzą się podziały w społeczeństwie na „swoich” i „obcych”; rozpoznaje przyczyny, przejawy i skutki nietolerancji i stygmatyzacji oraz przedstawia możliwe sposoby przeciwstawiania się tym zjawiskom;</w:t>
            </w:r>
          </w:p>
        </w:tc>
      </w:tr>
      <w:tr w:rsidR="003B388B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6.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FF0000"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Tolerancja i rozwiązywanie konfliktów</w:t>
            </w:r>
          </w:p>
        </w:tc>
        <w:tc>
          <w:tcPr>
            <w:tcW w:w="2220" w:type="pct"/>
          </w:tcPr>
          <w:p w:rsidR="003B388B" w:rsidRPr="00B5379E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>Typologia konfliktów społecznych.</w:t>
            </w:r>
          </w:p>
          <w:p w:rsidR="003B388B" w:rsidRPr="00B5379E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 xml:space="preserve">Społeczna natura obcości i inności: </w:t>
            </w:r>
          </w:p>
          <w:p w:rsidR="003B388B" w:rsidRPr="00B5379E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strike/>
                <w:lang w:val="pl-PL"/>
              </w:rPr>
              <w:t>–</w:t>
            </w:r>
            <w:r w:rsidRPr="00B5379E">
              <w:rPr>
                <w:rFonts w:ascii="Cambria" w:hAnsi="Cambria"/>
                <w:iCs/>
                <w:lang w:val="pl-PL"/>
              </w:rPr>
              <w:t>– postawy wobec obcości i inności: akceptacja, tolerancja</w:t>
            </w:r>
          </w:p>
          <w:p w:rsidR="003B388B" w:rsidRPr="00B5379E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>– psychologiczne i społeczne skutki nietolerancji</w:t>
            </w:r>
          </w:p>
          <w:p w:rsidR="003B388B" w:rsidRPr="00B5379E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>– sposoby przeciwstawiania się nietolerancji</w:t>
            </w:r>
          </w:p>
          <w:p w:rsidR="003B388B" w:rsidRPr="00B5379E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>Konflikt w grupie społecznej:</w:t>
            </w:r>
          </w:p>
          <w:p w:rsidR="003B388B" w:rsidRPr="00B5379E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>– mechanizmy powstawania i eskalacji konfliktów grupowych,</w:t>
            </w:r>
          </w:p>
          <w:p w:rsidR="003B388B" w:rsidRPr="00B5379E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lastRenderedPageBreak/>
              <w:t>– postawy wobec konfliktów, np. unikanie, dostosowanie, rywalizacja,</w:t>
            </w:r>
          </w:p>
          <w:p w:rsidR="003B388B" w:rsidRPr="00B5379E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>– konstruktywne sposoby rozwiązywania konfliktów: kompromis, mediacja, negocjacje, arbitraż,</w:t>
            </w:r>
          </w:p>
          <w:p w:rsidR="003B388B" w:rsidRPr="00B5379E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B5379E">
              <w:rPr>
                <w:rFonts w:ascii="Cambria" w:hAnsi="Cambria"/>
                <w:iCs/>
                <w:lang w:val="pl-PL"/>
              </w:rPr>
              <w:t xml:space="preserve">– rola konfliktu w życiu społecznym (pozytywne i negatywne aspekty zjawiska). 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lastRenderedPageBreak/>
              <w:t>I. Człowiek i społeczeństwo.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6) odróżnia tolerancję od akceptacji […], rozpoznaje przyczyny, przejawy i skutki nietolerancji i stygmatyzacji oraz przedstawia możliwe sposoby przeciwstawiania się tym zjawiskom; 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7) przedstawia podstawowe metody rozwiązywania </w:t>
            </w:r>
            <w:r w:rsidRPr="006553C4">
              <w:rPr>
                <w:rFonts w:ascii="Cambria" w:hAnsi="Cambria"/>
                <w:iCs/>
                <w:lang w:val="pl-PL"/>
              </w:rPr>
              <w:lastRenderedPageBreak/>
              <w:t>konfliktów (mediacja, negocjacje, arbitraż) oraz zalety i wady wskazanych rozwiązań.</w:t>
            </w:r>
          </w:p>
        </w:tc>
      </w:tr>
      <w:tr w:rsidR="003B388B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7.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FF0000"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Współczesne społeczeństwo</w:t>
            </w: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Cechy społeczeństwa współczesnego: otwarte, postindustrialne, konsumpcyjne, masowe, informacyjne.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Dynamika współczesnych zjawisk społecznych: analiza problemu na wybranych przykładach, dotyczących m.in. migracji, starzenia się społeczeństwa, uzależnień, przestrzegania norm społecznych;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Problemy życiowe współczesnej młodzieży w Polsce: 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– młody człowiek wobec wyboru ścieżki edukacyjnej i zawodowej, a także wartości, autorytetów, stylu życia; 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młody człowiek wobec współczesnych zagrożeń (np. substancje psychoaktywne, media cyfrowe, konsumpcja);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– młody człowiek wobec kryzysu współczesnej rodziny. 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000000"/>
                <w:lang w:val="pl-PL"/>
              </w:rPr>
            </w:pPr>
            <w:r w:rsidRPr="006553C4">
              <w:rPr>
                <w:rFonts w:ascii="Cambria" w:hAnsi="Cambria"/>
                <w:iCs/>
                <w:color w:val="000000"/>
                <w:lang w:val="pl-PL"/>
              </w:rPr>
              <w:t>I. Człowiek i społeczeństwo. Uczeń: […]</w:t>
            </w:r>
          </w:p>
          <w:p w:rsidR="003B388B" w:rsidRPr="00E64CBC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853F2E">
              <w:rPr>
                <w:rFonts w:ascii="Cambria" w:hAnsi="Cambria"/>
                <w:iCs/>
                <w:lang w:val="pl-PL"/>
              </w:rPr>
              <w:t xml:space="preserve">8) charakteryzuje współczesne społeczeństwo i analizuje jego cechy (otwarte, postindustrialne, konsumpcyjne, masowe i informacyjne); 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9) rozpoznaje problemy życiowe młodzieży w społeczeństwie polskim i formułuje sądy w tych kwestiach. </w:t>
            </w:r>
          </w:p>
        </w:tc>
      </w:tr>
      <w:tr w:rsidR="003B388B" w:rsidTr="00E226C9">
        <w:trPr>
          <w:trHeight w:val="340"/>
        </w:trPr>
        <w:tc>
          <w:tcPr>
            <w:tcW w:w="5000" w:type="pct"/>
            <w:gridSpan w:val="4"/>
          </w:tcPr>
          <w:p w:rsidR="003B388B" w:rsidRPr="006553C4" w:rsidRDefault="003B388B" w:rsidP="00E226C9">
            <w:pPr>
              <w:pStyle w:val="TabelaszerokaNormalny"/>
              <w:jc w:val="center"/>
              <w:rPr>
                <w:rFonts w:ascii="Cambria" w:hAnsi="Cambria"/>
                <w:iCs/>
                <w:sz w:val="24"/>
                <w:szCs w:val="24"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Podsumowanie i test</w:t>
            </w:r>
          </w:p>
        </w:tc>
      </w:tr>
      <w:tr w:rsidR="003B388B" w:rsidRPr="007D37E9" w:rsidTr="00E226C9">
        <w:trPr>
          <w:trHeight w:val="340"/>
        </w:trPr>
        <w:tc>
          <w:tcPr>
            <w:tcW w:w="5000" w:type="pct"/>
            <w:gridSpan w:val="4"/>
            <w:shd w:val="clear" w:color="auto" w:fill="F2F2F2"/>
          </w:tcPr>
          <w:p w:rsidR="003B388B" w:rsidRPr="006553C4" w:rsidRDefault="003B388B" w:rsidP="00E226C9">
            <w:pPr>
              <w:pStyle w:val="TabelaszerokaNormalny"/>
              <w:jc w:val="center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II. AKTYWNOŚĆ OBYWATELSKA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8.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>
              <w:rPr>
                <w:rFonts w:ascii="Cambria" w:hAnsi="Cambria"/>
                <w:iCs/>
                <w:lang w:val="pl-PL"/>
              </w:rPr>
              <w:t xml:space="preserve"> Organizacje pozarządowe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Podstawa prawna funkcjonowania w Polsce organizacji pozarządowych, w tym fundacji i stowarzyszeń.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Prezentacja i analiza wybranej formy działań indywidualnych lub grupowych w życiu publicznym.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Charakterystyka działalności wybranej organizacji pozarządowej (cel, formy działania, statut).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II. Społeczeństwo obywatelskie. Uczeń: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1) przedstawia rodzaje i przykłady organizacji pozarządowych; charakteryzuje działalność wybranych organizacji tego typu w Rzeczypospolitej Polskiej; wymienia zakres niezbędnych uregulowań w statucie stowarzyszenia;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 xml:space="preserve">2) przygotowuje materiał do zamieszczenia w internecie na temat działań indywidualnych lub grupowych w życiu publicznym (np. w wątku publicznym swojego profilu na portalach </w:t>
            </w:r>
            <w:r w:rsidRPr="006553C4">
              <w:rPr>
                <w:rFonts w:ascii="Cambria" w:hAnsi="Cambria" w:cs="TimesNewRoman"/>
                <w:iCs/>
                <w:lang w:val="pl-PL"/>
              </w:rPr>
              <w:lastRenderedPageBreak/>
              <w:t>społecznościowych lub na blogu).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lastRenderedPageBreak/>
              <w:t>9.</w:t>
            </w:r>
          </w:p>
        </w:tc>
        <w:tc>
          <w:tcPr>
            <w:tcW w:w="766" w:type="pct"/>
            <w:vAlign w:val="center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Kościoły i związki wyznaniowe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FF0000"/>
                <w:lang w:val="pl-PL"/>
              </w:rPr>
            </w:pP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color w:val="FF0000"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Identyfikacja religijna współczesnego społeczeństwa polskiego.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Kościoły i inne związki wyznaniowe w Polsce: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podstawa prawna funkcjonowania Kościołów i związków wyznaniowych,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rola Kościołów i związków wyznaniowych w przestrzeni publicznej (idee, obszary działania, struktury).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II. Społeczeństwo obywatelskie.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3) przedstawia funkcjonujące w Rzeczypospolitej Polskiej kościoły i inne związki wyznaniowe.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10.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</w:t>
            </w:r>
            <w:r>
              <w:rPr>
                <w:rFonts w:ascii="Cambria" w:hAnsi="Cambria"/>
                <w:iCs/>
                <w:lang w:val="pl-PL"/>
              </w:rPr>
              <w:t>artie</w:t>
            </w:r>
            <w:r w:rsidRPr="006553C4">
              <w:rPr>
                <w:rFonts w:ascii="Cambria" w:hAnsi="Cambria"/>
                <w:iCs/>
                <w:lang w:val="pl-PL"/>
              </w:rPr>
              <w:t xml:space="preserve"> polityczne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Podstawy prawne funkcjonowania partii politycznych w Polsce (art. 11, 13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Konstytucj</w:t>
            </w:r>
            <w:r w:rsidRPr="006553C4">
              <w:rPr>
                <w:rFonts w:ascii="Cambria" w:hAnsi="Cambria"/>
                <w:i/>
                <w:iCs/>
                <w:lang w:val="pl-PL"/>
              </w:rPr>
              <w:t>i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 xml:space="preserve"> RP</w:t>
            </w:r>
            <w:r w:rsidRPr="006553C4">
              <w:rPr>
                <w:rFonts w:ascii="Cambria" w:hAnsi="Cambria"/>
                <w:iCs/>
                <w:lang w:val="pl-PL"/>
              </w:rPr>
              <w:t xml:space="preserve">; wybrane fragmenty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Ustawy o partiach politycznych</w:t>
            </w:r>
            <w:r w:rsidRPr="006553C4">
              <w:rPr>
                <w:rFonts w:ascii="Cambria" w:hAnsi="Cambria"/>
                <w:iCs/>
                <w:lang w:val="pl-PL"/>
              </w:rPr>
              <w:t>).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Cele i funkcje demokratycznych partii politycznych.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II. Społeczeństwo obywatelskie.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4) przedstawia cechy konstytutywne partii politycznych; wymienia partie polityczne, które w ostatnich wyborach do Sejmu Rzeczypospolitej Polskiej przekroczyły próg niezbędny do uzyskania dotacji budżetowej, i nazwiska ich liderów; przedstawia podstawowe założenia programowe tych ugrupowań.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>
              <w:rPr>
                <w:rFonts w:ascii="Cambria" w:hAnsi="Cambria"/>
                <w:b/>
                <w:iCs/>
                <w:lang w:val="pl-PL"/>
              </w:rPr>
              <w:t>11.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>
              <w:rPr>
                <w:rFonts w:ascii="Cambria" w:hAnsi="Cambria"/>
                <w:iCs/>
                <w:lang w:val="pl-PL"/>
              </w:rPr>
              <w:t>Kampanie wyborcze</w:t>
            </w:r>
          </w:p>
        </w:tc>
        <w:tc>
          <w:tcPr>
            <w:tcW w:w="2220" w:type="pct"/>
          </w:tcPr>
          <w:p w:rsidR="003B388B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Krytyczna analiza materiałów z kampanii wyborczych (np. spotów, memów, ulotek, haseł wyborczych – odbiorca, treść przekazu, forma przekazu, zastosowane środki perswazji).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Interpretacja wyników badania opinii publicznej: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analiza różnych form prezentacji wyników badania opinii publicznej: wykresów i tabel,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 xml:space="preserve">– </w:t>
            </w:r>
            <w:r w:rsidRPr="006553C4">
              <w:rPr>
                <w:rFonts w:ascii="Cambria" w:hAnsi="Cambria" w:cs="TimesNewRoman"/>
                <w:iCs/>
                <w:lang w:val="pl-PL"/>
              </w:rPr>
              <w:t>porównywanie wyników sondaży opinii z rzeczywistymi postawami lub zachowaniami obywateli (np. wyników sondaży przedwyborczych oraz rezultatów wyborów),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 xml:space="preserve">– </w:t>
            </w:r>
            <w:r w:rsidRPr="006553C4">
              <w:rPr>
                <w:rFonts w:ascii="Cambria" w:hAnsi="Cambria" w:cs="TimesNewRoman"/>
                <w:iCs/>
                <w:lang w:val="pl-PL"/>
              </w:rPr>
              <w:t>formułowanie hipotez dotyczących tego, z czego mogą wynikać różnice między wynikami sondaż</w:t>
            </w:r>
            <w:r>
              <w:rPr>
                <w:rFonts w:ascii="Cambria" w:hAnsi="Cambria" w:cs="TimesNewRoman"/>
                <w:iCs/>
                <w:lang w:val="pl-PL"/>
              </w:rPr>
              <w:t>y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 przekraczające wartość błędu statystycznego.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II. Społeczeństwo obywatelskie. Uczeń: […]</w:t>
            </w:r>
          </w:p>
          <w:p w:rsidR="003B388B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5) dokonuje krytycznej analizy materiałów z kampanii wyborczych (np. spoty, memy, ulotki i hasła wyborcze).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9) interpretuje wyniki badań opinii publicznej; porównuje wyniki sondaży z rzeczywistymi postawami lub zachowaniami (np. sondaży przedwyborczych oraz rezultatów wyborów), formułuje hipotezy dotyczące przyczyn różnic</w:t>
            </w:r>
            <w:r>
              <w:rPr>
                <w:rFonts w:ascii="Cambria" w:hAnsi="Cambria" w:cs="TimesNewRoman"/>
                <w:iCs/>
                <w:lang w:val="pl-PL"/>
              </w:rPr>
              <w:t xml:space="preserve"> </w:t>
            </w:r>
            <w:r w:rsidRPr="006553C4">
              <w:rPr>
                <w:rFonts w:ascii="Cambria" w:hAnsi="Cambria" w:cs="TimesNewRoman"/>
                <w:iCs/>
                <w:lang w:val="pl-PL"/>
              </w:rPr>
              <w:t>przekraczających wartość błędu statystycznego.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1</w:t>
            </w:r>
            <w:r>
              <w:rPr>
                <w:rFonts w:ascii="Cambria" w:hAnsi="Cambria"/>
                <w:b/>
                <w:iCs/>
                <w:lang w:val="pl-PL"/>
              </w:rPr>
              <w:t>2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Media – „czwarta władza”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Znaczenie pojęć: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środki masowego przekazu</w:t>
            </w:r>
            <w:r w:rsidRPr="006553C4">
              <w:rPr>
                <w:rFonts w:ascii="Cambria" w:hAnsi="Cambria"/>
                <w:iCs/>
                <w:lang w:val="pl-PL"/>
              </w:rPr>
              <w:t xml:space="preserve">,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opinia publiczna</w:t>
            </w:r>
            <w:r w:rsidRPr="006553C4">
              <w:rPr>
                <w:rFonts w:ascii="Cambria" w:hAnsi="Cambria"/>
                <w:iCs/>
                <w:lang w:val="pl-PL"/>
              </w:rPr>
              <w:t xml:space="preserve">,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ośrodki badania opinii publicznej</w:t>
            </w:r>
            <w:r w:rsidRPr="006553C4">
              <w:rPr>
                <w:rFonts w:ascii="Cambria" w:hAnsi="Cambria"/>
                <w:iCs/>
                <w:lang w:val="pl-PL"/>
              </w:rPr>
              <w:t xml:space="preserve">,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sondaż</w:t>
            </w:r>
            <w:r w:rsidRPr="006553C4">
              <w:rPr>
                <w:rFonts w:ascii="Cambria" w:hAnsi="Cambria"/>
                <w:iCs/>
                <w:lang w:val="pl-PL"/>
              </w:rPr>
              <w:t xml:space="preserve">, w tym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sondaż przedwyborczy</w:t>
            </w:r>
            <w:r w:rsidRPr="006553C4">
              <w:rPr>
                <w:rFonts w:ascii="Cambria" w:hAnsi="Cambria"/>
                <w:iCs/>
                <w:lang w:val="pl-PL"/>
              </w:rPr>
              <w:t xml:space="preserve">,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reklama</w:t>
            </w:r>
            <w:r w:rsidRPr="006553C4">
              <w:rPr>
                <w:rFonts w:ascii="Cambria" w:hAnsi="Cambria"/>
                <w:iCs/>
                <w:lang w:val="pl-PL"/>
              </w:rPr>
              <w:t xml:space="preserve">,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lastRenderedPageBreak/>
              <w:t>kampania społeczna</w:t>
            </w:r>
            <w:r w:rsidRPr="006553C4">
              <w:rPr>
                <w:rFonts w:ascii="Cambria" w:hAnsi="Cambria"/>
                <w:iCs/>
                <w:lang w:val="pl-PL"/>
              </w:rPr>
              <w:t xml:space="preserve">,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statystyka</w:t>
            </w:r>
            <w:r w:rsidRPr="006553C4">
              <w:rPr>
                <w:rFonts w:ascii="Cambria" w:hAnsi="Cambria"/>
                <w:iCs/>
                <w:lang w:val="pl-PL"/>
              </w:rPr>
              <w:t xml:space="preserve"> i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błąd statystyczny</w:t>
            </w:r>
            <w:r w:rsidRPr="006553C4">
              <w:rPr>
                <w:rFonts w:ascii="Cambria" w:hAnsi="Cambria"/>
                <w:iCs/>
                <w:lang w:val="pl-PL"/>
              </w:rPr>
              <w:t>,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Panorama współczesnych mediów w Polsce:</w:t>
            </w:r>
          </w:p>
          <w:p w:rsidR="003B388B" w:rsidRPr="00853F2E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853F2E">
              <w:rPr>
                <w:rFonts w:ascii="Cambria" w:hAnsi="Cambria" w:cs="Calibri"/>
                <w:iCs/>
                <w:lang w:val="pl-PL"/>
              </w:rPr>
              <w:t>– prasa</w:t>
            </w:r>
            <w:r w:rsidRPr="006553C4">
              <w:rPr>
                <w:rFonts w:ascii="Cambria" w:hAnsi="Cambria" w:cs="Calibri"/>
                <w:iCs/>
                <w:lang w:val="pl-PL"/>
              </w:rPr>
              <w:t>,</w:t>
            </w:r>
          </w:p>
          <w:p w:rsidR="003B388B" w:rsidRPr="00853F2E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853F2E">
              <w:rPr>
                <w:rFonts w:ascii="Cambria" w:hAnsi="Cambria" w:cs="Calibri"/>
                <w:iCs/>
                <w:lang w:val="pl-PL"/>
              </w:rPr>
              <w:t>– stacje telewizyjne i radiowe</w:t>
            </w:r>
            <w:r w:rsidRPr="006553C4">
              <w:rPr>
                <w:rFonts w:ascii="Cambria" w:hAnsi="Cambria" w:cs="Calibri"/>
                <w:iCs/>
                <w:lang w:val="pl-PL"/>
              </w:rPr>
              <w:t>,</w:t>
            </w:r>
          </w:p>
          <w:p w:rsidR="003B388B" w:rsidRPr="00853F2E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853F2E">
              <w:rPr>
                <w:rFonts w:ascii="Cambria" w:hAnsi="Cambria" w:cs="Calibri"/>
                <w:iCs/>
                <w:lang w:val="pl-PL"/>
              </w:rPr>
              <w:t>– portale internetowe</w:t>
            </w:r>
            <w:r w:rsidRPr="006553C4">
              <w:rPr>
                <w:rFonts w:ascii="Cambria" w:hAnsi="Cambria" w:cs="Calibri"/>
                <w:iCs/>
                <w:lang w:val="pl-PL"/>
              </w:rPr>
              <w:t>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Funkcje współczesnych środków masowego przekazu i ich znaczenie w życiu publicznym.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Charakterystyka wybranych tytułów prasowych, stacji lub portali ze względu na specyfikę, formę i treść przekazu.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Etyka w mediach; rozpoznawanie nieetycznych zachowań dziennikarzy.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lastRenderedPageBreak/>
              <w:t>II. Społeczeństwo obywatelskie. Uczeń: […]</w:t>
            </w:r>
          </w:p>
          <w:p w:rsidR="003B388B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 xml:space="preserve">6) przedstawia współczesne media w Rzeczypospolitej </w:t>
            </w:r>
            <w:r w:rsidRPr="006553C4">
              <w:rPr>
                <w:rFonts w:ascii="Cambria" w:hAnsi="Cambria" w:cs="TimesNewRoman"/>
                <w:iCs/>
                <w:lang w:val="pl-PL"/>
              </w:rPr>
              <w:lastRenderedPageBreak/>
              <w:t>Polskiej – wymienia główne dzienniki, tygodniki społeczno</w:t>
            </w:r>
            <w:r>
              <w:rPr>
                <w:rFonts w:ascii="Cambria" w:hAnsi="Cambria" w:cs="TimesNewRoman"/>
                <w:iCs/>
                <w:lang w:val="pl-PL"/>
              </w:rPr>
              <w:noBreakHyphen/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-polityczne, stacje telewizyjne i radiowe, portale internetowe, charakteryzuje wybrany tytuł/stację/portal ze względu na specyfikę formy i treści przekazu.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1</w:t>
            </w:r>
            <w:r>
              <w:rPr>
                <w:rFonts w:ascii="Cambria" w:hAnsi="Cambria"/>
                <w:b/>
                <w:iCs/>
                <w:lang w:val="pl-PL"/>
              </w:rPr>
              <w:t>3.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Przekazy medialne</w:t>
            </w: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Krytyczna analiza wybranych przekazów medialnych: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fakty i opinie,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środki perswazji,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porównywanie różnych przekazów medialnych dotyczących tych samych wydarzeń i procesów,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  <w:r w:rsidRPr="006553C4">
              <w:rPr>
                <w:rFonts w:ascii="Cambria" w:hAnsi="Cambria" w:cs="Calibri"/>
                <w:iCs/>
                <w:lang w:val="pl-PL"/>
              </w:rPr>
              <w:t>– formułowanie samodzielnych wniosków i ocen po analizie przekazów medialnych,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 w:cs="Calibri"/>
                <w:iCs/>
                <w:lang w:val="pl-PL"/>
              </w:rPr>
            </w:pP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II. Społeczeństwo obywatelskie.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7) krytycznie analizuje przekazy medialne i porównuje przekazy różnych mediów dotyczące tych samych wydarzeń czy procesów; formułuje własną opinię w oparciu o poznane fakty; rozpoznaje przejawy nieetycznych zachowań dziennikarzy;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1</w:t>
            </w:r>
            <w:r>
              <w:rPr>
                <w:rFonts w:ascii="Cambria" w:hAnsi="Cambria"/>
                <w:b/>
                <w:iCs/>
                <w:lang w:val="pl-PL"/>
              </w:rPr>
              <w:t>4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Patologie życia publicznego</w:t>
            </w: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Rodzaje patologii we współczesnym życiu publicznym: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korupcja (rodzaje działań korupcyjnych, przyczyny),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nepotyzm (rodzaje działań, przyczyny),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szara strefa (rodzaje działań, przyczyny),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 analiza udowodnionego przypadku korupcji z wykorzystaniem materiałów medialnych,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 wpływ patologii życia publicznego, ze szczególnym uwzględnieniem korupcji, na funkcjonowanie społeczeństwa, gospodarki, państwa.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II. Społeczeństwo obywatelskie.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8) rozpoznaje przejawy patologii życia publicznego i wykazuje ich negatywny wpływ na życie publiczne; przedstawia mechanizmy korupcji i analizuje – z wykorzystaniem materiałów medialnych – jej udowodniony przykład.</w:t>
            </w:r>
          </w:p>
        </w:tc>
      </w:tr>
      <w:tr w:rsidR="003B388B" w:rsidRPr="00EC21CE" w:rsidTr="00E226C9">
        <w:tc>
          <w:tcPr>
            <w:tcW w:w="5000" w:type="pct"/>
            <w:gridSpan w:val="4"/>
          </w:tcPr>
          <w:p w:rsidR="003B388B" w:rsidRPr="006553C4" w:rsidRDefault="003B388B" w:rsidP="00E226C9">
            <w:pPr>
              <w:pStyle w:val="TabelaszerokaNormalny"/>
              <w:jc w:val="center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Podsumowanie i test</w:t>
            </w:r>
          </w:p>
        </w:tc>
      </w:tr>
      <w:tr w:rsidR="003B388B" w:rsidRPr="005B2701" w:rsidTr="00E226C9">
        <w:tc>
          <w:tcPr>
            <w:tcW w:w="5000" w:type="pct"/>
            <w:gridSpan w:val="4"/>
            <w:shd w:val="clear" w:color="auto" w:fill="F2F2F2"/>
          </w:tcPr>
          <w:p w:rsidR="003B388B" w:rsidRPr="006553C4" w:rsidRDefault="003B388B" w:rsidP="00E226C9">
            <w:pPr>
              <w:pStyle w:val="TabelaszerokaNormalny"/>
              <w:jc w:val="center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III. ORGANY WŁADZY PUBLICZNEJ W POLSCE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1</w:t>
            </w:r>
            <w:r>
              <w:rPr>
                <w:rFonts w:ascii="Cambria" w:hAnsi="Cambria"/>
                <w:b/>
                <w:iCs/>
                <w:lang w:val="pl-PL"/>
              </w:rPr>
              <w:t>5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>
              <w:rPr>
                <w:rFonts w:ascii="Cambria" w:hAnsi="Cambria"/>
                <w:i/>
                <w:iCs/>
                <w:lang w:val="pl-PL"/>
              </w:rPr>
              <w:t xml:space="preserve">  Konstytucja Rzeczypospolitej Polskiej</w:t>
            </w: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Znaczenie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Konstytucji</w:t>
            </w:r>
            <w:r w:rsidRPr="006553C4">
              <w:rPr>
                <w:rFonts w:ascii="Cambria" w:hAnsi="Cambria"/>
                <w:iCs/>
                <w:lang w:val="pl-PL"/>
              </w:rPr>
              <w:t xml:space="preserve"> </w:t>
            </w:r>
            <w:r w:rsidRPr="006553C4">
              <w:rPr>
                <w:rFonts w:ascii="Cambria" w:hAnsi="Cambria"/>
                <w:i/>
                <w:iCs/>
                <w:lang w:val="pl-PL"/>
              </w:rPr>
              <w:t>RP</w:t>
            </w:r>
            <w:r w:rsidRPr="006553C4">
              <w:rPr>
                <w:rFonts w:ascii="Cambria" w:hAnsi="Cambria"/>
                <w:iCs/>
                <w:lang w:val="pl-PL"/>
              </w:rPr>
              <w:t xml:space="preserve"> w polskim systemie prawa (zasadnicze, nadrzędne źródło powszechnie obowiązującego prawa). 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lastRenderedPageBreak/>
              <w:t xml:space="preserve">Nadrzędna rola preambuły: analiza treści preambuły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Konstytucji RP</w:t>
            </w:r>
            <w:r w:rsidRPr="006553C4">
              <w:rPr>
                <w:rFonts w:ascii="Cambria" w:hAnsi="Cambria"/>
                <w:iCs/>
                <w:lang w:val="pl-PL"/>
              </w:rPr>
              <w:t xml:space="preserve"> z 1997 roku.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Rodzaje źródeł powszechnie obowiązującego prawa w Polsce i ich hierarchia.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Znaczenie zasad ustrojowych zawartych w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Konstytucji RP</w:t>
            </w:r>
            <w:r w:rsidRPr="006553C4">
              <w:rPr>
                <w:rFonts w:ascii="Cambria" w:hAnsi="Cambria"/>
                <w:iCs/>
                <w:lang w:val="pl-PL"/>
              </w:rPr>
              <w:t>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lastRenderedPageBreak/>
              <w:t>III. Organy władzy publicznej w Rzeczypospolitej Polskiej. Uczeń: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1) charakteryzuje zasady ustrojowe zawarte w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Konstytucji Rzeczypospolitej Polskiej</w:t>
            </w:r>
            <w:r w:rsidRPr="006553C4">
              <w:rPr>
                <w:rFonts w:ascii="Cambria" w:hAnsi="Cambria"/>
                <w:iCs/>
                <w:lang w:val="pl-PL"/>
              </w:rPr>
              <w:t xml:space="preserve"> </w:t>
            </w:r>
            <w:r w:rsidRPr="006553C4">
              <w:rPr>
                <w:rFonts w:ascii="Cambria" w:hAnsi="Cambria"/>
                <w:iCs/>
                <w:lang w:val="pl-PL"/>
              </w:rPr>
              <w:lastRenderedPageBreak/>
              <w:t xml:space="preserve">(demokratycznego państwa prawnego, unitarnej formy państwa, zwierzchnictwa narodu, gwarancji praw i wolności jednostki, konstytucjonalizmu, podziału i równowagi władz, republikańskiej formy rządu, pluralizmu, decentralizacji, samorządności, społecznej gospodarki rynkowej); analizuje sformułowania preambuły </w:t>
            </w:r>
            <w:r w:rsidRPr="00853F2E">
              <w:rPr>
                <w:rFonts w:ascii="Cambria" w:hAnsi="Cambria"/>
                <w:i/>
                <w:iCs/>
                <w:lang w:val="pl-PL"/>
              </w:rPr>
              <w:t>Konstytucji Rzeczypospolitej Polskiej</w:t>
            </w:r>
            <w:r w:rsidRPr="006553C4">
              <w:rPr>
                <w:rFonts w:ascii="Cambria" w:hAnsi="Cambria"/>
                <w:iCs/>
                <w:lang w:val="pl-PL"/>
              </w:rPr>
              <w:t>.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lastRenderedPageBreak/>
              <w:t>1</w:t>
            </w:r>
            <w:r>
              <w:rPr>
                <w:rFonts w:ascii="Cambria" w:hAnsi="Cambria"/>
                <w:b/>
                <w:iCs/>
                <w:lang w:val="pl-PL"/>
              </w:rPr>
              <w:t>6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>
              <w:rPr>
                <w:rFonts w:ascii="Cambria" w:hAnsi="Cambria"/>
                <w:iCs/>
                <w:lang w:val="pl-PL"/>
              </w:rPr>
              <w:t xml:space="preserve"> Formy demokracji</w:t>
            </w: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color w:val="9BBB59"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Formy demokracji bezpośredniej we współczesnych państwach demokratycznych, w tym w Polsce: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rodzaje referendów w Polsce: ogólnokrajowe i lokalne,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–  podstawowe zasady prawne organizacji referendum w Polsce (przedmiot; podmiot zarządzający przeprowadzenie referendum; zasady regulujące ważność referendum i określające wiążący charakter </w:t>
            </w:r>
            <w:r>
              <w:rPr>
                <w:rFonts w:ascii="Cambria" w:hAnsi="Cambria"/>
                <w:iCs/>
                <w:lang w:val="pl-PL"/>
              </w:rPr>
              <w:t xml:space="preserve">jego </w:t>
            </w:r>
            <w:r w:rsidRPr="006553C4">
              <w:rPr>
                <w:rFonts w:ascii="Cambria" w:hAnsi="Cambria"/>
                <w:iCs/>
                <w:lang w:val="pl-PL"/>
              </w:rPr>
              <w:t>wynik</w:t>
            </w:r>
            <w:r>
              <w:rPr>
                <w:rFonts w:ascii="Cambria" w:hAnsi="Cambria"/>
                <w:iCs/>
                <w:lang w:val="pl-PL"/>
              </w:rPr>
              <w:t>ów</w:t>
            </w:r>
            <w:r w:rsidRPr="006553C4">
              <w:rPr>
                <w:rFonts w:ascii="Cambria" w:hAnsi="Cambria"/>
                <w:iCs/>
                <w:lang w:val="pl-PL"/>
              </w:rPr>
              <w:t>),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 znaczenie form demokracji bezpośredniej dla funkcjonowania społeczeństwa obywatelskiego,</w:t>
            </w:r>
          </w:p>
          <w:p w:rsidR="003B388B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– konsultacje publiczne: studium przypadku obrazującego możliwy wpływ konsultacji publicznych na kształtowanie prawa w Polsce. 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Formy demokracji pośredniej w Polsce. Wybory: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do Sejmu</w:t>
            </w:r>
            <w:r>
              <w:rPr>
                <w:rFonts w:ascii="Cambria" w:hAnsi="Cambria"/>
                <w:iCs/>
                <w:lang w:val="pl-PL"/>
              </w:rPr>
              <w:t xml:space="preserve"> RP</w:t>
            </w:r>
            <w:r w:rsidRPr="006553C4">
              <w:rPr>
                <w:rFonts w:ascii="Cambria" w:hAnsi="Cambria"/>
                <w:iCs/>
                <w:lang w:val="pl-PL"/>
              </w:rPr>
              <w:t xml:space="preserve"> i Senatu</w:t>
            </w:r>
            <w:r>
              <w:rPr>
                <w:rFonts w:ascii="Cambria" w:hAnsi="Cambria"/>
                <w:iCs/>
                <w:lang w:val="pl-PL"/>
              </w:rPr>
              <w:t xml:space="preserve"> RP</w:t>
            </w:r>
            <w:r w:rsidRPr="006553C4">
              <w:rPr>
                <w:rFonts w:ascii="Cambria" w:hAnsi="Cambria"/>
                <w:iCs/>
                <w:lang w:val="pl-PL"/>
              </w:rPr>
              <w:t>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Prezydenta RP,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– do Parlamentu Europejskiego, 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organów samorządu terytorialnego.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Podstawowe zasady wyborcze. Wybory: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powszechne,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– bezpośrednie, 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równe,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proporcjonalne/większościowe,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głosowanie tajne.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Czynne i bierne prawo wyborcze w Polsce.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Porównanie ordynacji proporcjonalnej i większościowej – wskazanie zalet i wad tych systemów wyborczych. 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07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lastRenderedPageBreak/>
              <w:t>III. Organy władzy publicznej w Rzeczypospolitej Polskiej. Uczeń: […]</w:t>
            </w:r>
          </w:p>
          <w:p w:rsidR="003B388B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2) charakteryzuje formy demokracji bezpośredniej; przedstawia specyfikę referendum ogólnokrajowego i rodzajów referendów lokalnych w Rzeczypospolitej Polskiej; wyjaśnia, jakie warunki muszą zostać spełnione, by referendum się odbyło oraz by jego wyniki były wiążące (w przypadku referendów lokalnych: by było ważne); wyjaśnia – na wybranym przykładzie – wpływ konsultacji publicznych na kształtowanie prawa w Rzeczypospolitej Polskiej.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3) wyjaśnia, jak przeprowadzane są powszechne i bezpośrednie wybory organów władzy publicznej w Rzeczypospolitej Polskiej; na przykładzie wyborów do Sejmu Rzeczypospolitej Polskiej i do Senatu Rzeczypospolitej Polskiej porównuje ordynację proporcjonalną i większościową; analizuje potencjalne wady i zalety każdego z tych systemów wyborczych.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1</w:t>
            </w:r>
            <w:r>
              <w:rPr>
                <w:rFonts w:ascii="Cambria" w:hAnsi="Cambria"/>
                <w:b/>
                <w:iCs/>
                <w:lang w:val="pl-PL"/>
              </w:rPr>
              <w:t>7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Sejm i Senat</w:t>
            </w:r>
            <w:r>
              <w:rPr>
                <w:rFonts w:ascii="Cambria" w:hAnsi="Cambria"/>
                <w:iCs/>
                <w:lang w:val="pl-PL"/>
              </w:rPr>
              <w:t xml:space="preserve"> RP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Rola Sejmu RP i Senatu RP.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Funkcje parlamentu.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Status posłów i senatorów: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mandat wolny,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immunitet formalny i materialny.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Praca Sejmu RP i Senatu RP: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struktura obu izb parlamentu (prezydium, komisje, kluby i koła),</w:t>
            </w:r>
          </w:p>
          <w:p w:rsidR="003B388B" w:rsidRPr="006553C4" w:rsidRDefault="003B388B" w:rsidP="00E226C9">
            <w:pPr>
              <w:pStyle w:val="TabelaszerokaNormalny"/>
              <w:ind w:left="20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sposoby podejmowania decyzji (kworum; rodzaje większości).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Kompetencje Zgromadzenia Narodowego.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III. Organy władzy publicznej w Rzeczypospolitej Polskiej.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4) przedstawia strukturę oraz organizację pracy Sejmu Rzeczypospolitej Polskiej i</w:t>
            </w:r>
            <w:r>
              <w:rPr>
                <w:rFonts w:ascii="Cambria" w:hAnsi="Cambria" w:cs="TimesNewRoman"/>
                <w:iCs/>
                <w:lang w:val="pl-PL"/>
              </w:rPr>
              <w:t> </w:t>
            </w:r>
            <w:r w:rsidRPr="006553C4">
              <w:rPr>
                <w:rFonts w:ascii="Cambria" w:hAnsi="Cambria" w:cs="TimesNewRoman"/>
                <w:iCs/>
                <w:lang w:val="pl-PL"/>
              </w:rPr>
              <w:t>Senatu Rzeczypospolitej Polskiej (prezydium, komisje, kluby i koła; kworum, rodzaje większości) oraz status posła, w tym instytucje mandatu wolnego i immunitetu; wymienia kompetencje Sejmu Rzeczypospolitej Polskiej i</w:t>
            </w:r>
            <w:r>
              <w:rPr>
                <w:rFonts w:ascii="Cambria" w:hAnsi="Cambria" w:cs="TimesNewRoman"/>
                <w:iCs/>
                <w:lang w:val="pl-PL"/>
              </w:rPr>
              <w:t> </w:t>
            </w:r>
            <w:r w:rsidRPr="006553C4">
              <w:rPr>
                <w:rFonts w:ascii="Cambria" w:hAnsi="Cambria" w:cs="TimesNewRoman"/>
                <w:iCs/>
                <w:lang w:val="pl-PL"/>
              </w:rPr>
              <w:t>Senatu Rzeczypospolitej Polskiej oraz Zgromadzenia Narodowego Rzeczypospolitej Polskiej.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1</w:t>
            </w:r>
            <w:r>
              <w:rPr>
                <w:rFonts w:ascii="Cambria" w:hAnsi="Cambria"/>
                <w:b/>
                <w:iCs/>
                <w:lang w:val="pl-PL"/>
              </w:rPr>
              <w:t>8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Prezydent RP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Ustrojowa rola Prezydenta RP. 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Zasady wyboru Prezydenta RP, w tym znaczenie zasady wyborów powszechnych dla pozycji ustrojowej głowy państwa.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Kompetencje Prezydenta RP: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ceremonialno-reprezentacyjne,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w stosunku do rządu (rola Prezydenta RP w procesie powoływania Rady Ministrów),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w stosunku do Sejmu, Senatu, Zgromadzenia Narodowego (w tym rola w procesie legislacyjnym).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w stosunku do organów władzy sądowniczej,</w:t>
            </w:r>
          </w:p>
          <w:p w:rsidR="003B388B" w:rsidRPr="006553C4" w:rsidRDefault="003B388B" w:rsidP="00E226C9">
            <w:pPr>
              <w:pStyle w:val="TabelaszerokaNormalny"/>
              <w:ind w:left="214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w polityce zagranicznej oraz bezpieczeństwa państwa.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Ocena poziomu legitymizacji społecznej władzy Prezydenta RP z wykorzystaniem wyników badania opinii publicznej.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III. Organy władzy publicznej w Rzeczypospolitej Polskiej. Uczeń: […]</w:t>
            </w:r>
          </w:p>
          <w:p w:rsidR="003B388B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5) wykazuje znaczenie, jakie dla pozycji ustrojowej Prezydenta Rzeczypospolitej Polskiej ma fakt wyborów powszechnych; przedstawia kompetencje Prezydenta Rzeczypospolitej Polskiej: ceremonialno</w:t>
            </w:r>
            <w:r>
              <w:rPr>
                <w:rFonts w:ascii="Cambria" w:hAnsi="Cambria" w:cs="TimesNewRoman"/>
                <w:iCs/>
                <w:lang w:val="pl-PL"/>
              </w:rPr>
              <w:noBreakHyphen/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-reprezentacyjne, w stosunku do rządu, parlamentu i władzy sądowniczej, w polityce zagranicznej oraz bezpieczeństwa państwa; analizuje – z wykorzystaniem wyników badań opinii publicznej – poziom legitymizacji społecznej władzy prezydenckiej.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 w:rsidRPr="006553C4">
              <w:rPr>
                <w:rFonts w:ascii="Cambria" w:hAnsi="Cambria"/>
                <w:b/>
                <w:iCs/>
                <w:lang w:val="pl-PL"/>
              </w:rPr>
              <w:t>1</w:t>
            </w:r>
            <w:r>
              <w:rPr>
                <w:rFonts w:ascii="Cambria" w:hAnsi="Cambria"/>
                <w:b/>
                <w:iCs/>
                <w:lang w:val="pl-PL"/>
              </w:rPr>
              <w:t>9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Rada Ministrów</w:t>
            </w:r>
            <w:r>
              <w:rPr>
                <w:rFonts w:ascii="Cambria" w:hAnsi="Cambria"/>
                <w:iCs/>
                <w:lang w:val="pl-PL"/>
              </w:rPr>
              <w:t xml:space="preserve"> RP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Ustrojowa rola Rady Ministrów (zasada podziału i równowagi władz).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Procedura powoływania Rady Ministrów: 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4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rola Sejmu RP i Prezydenta RP w</w:t>
            </w:r>
            <w:r>
              <w:rPr>
                <w:rFonts w:ascii="Cambria" w:hAnsi="Cambria"/>
                <w:iCs/>
                <w:lang w:val="pl-PL"/>
              </w:rPr>
              <w:t> </w:t>
            </w:r>
            <w:r w:rsidRPr="006553C4">
              <w:rPr>
                <w:rFonts w:ascii="Cambria" w:hAnsi="Cambria"/>
                <w:iCs/>
                <w:lang w:val="pl-PL"/>
              </w:rPr>
              <w:t>procesie powoływania rządu.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14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wotum zaufania.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Procedura odwoływania Rady Ministrów: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lastRenderedPageBreak/>
              <w:t>– dymisja Rady Ministrów, w tym w</w:t>
            </w:r>
            <w:r>
              <w:rPr>
                <w:rFonts w:ascii="Cambria" w:hAnsi="Cambria"/>
                <w:iCs/>
                <w:lang w:val="pl-PL"/>
              </w:rPr>
              <w:t> </w:t>
            </w:r>
            <w:r w:rsidRPr="006553C4">
              <w:rPr>
                <w:rFonts w:ascii="Cambria" w:hAnsi="Cambria"/>
                <w:iCs/>
                <w:lang w:val="pl-PL"/>
              </w:rPr>
              <w:t>wyniku skrócenia kadencji Sejmu RP,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zasady uchwalania konstruktywnego wotum nieufności,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zasady uchwalania wotum nieufności wobec ministra,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rola Sejmu (funkcja kontrolna) i Prezydenta RP w procedurze odwoływania Rady Ministrów i poszczególnych ministrów.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Ustrojowa rola prezesa Rady Ministrów.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Podstawowe działy administracji rządowej: kompetencje i przykłady wykonywanych działań.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Powoływanie wojewodów oraz ich rola i zadania.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lastRenderedPageBreak/>
              <w:t>III. Organy władzy publicznej w Rzeczypospolitej Polskiej.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 xml:space="preserve">6) przedstawia kompetencje Rady Ministrów Rzeczypospolitej Polskiej; wymienia podstawowe działy administracji rządowej i zadania wojewody; wyjaśnia rolę </w:t>
            </w:r>
            <w:r w:rsidRPr="006553C4">
              <w:rPr>
                <w:rFonts w:ascii="Cambria" w:hAnsi="Cambria" w:cs="TimesNewRoman"/>
                <w:iCs/>
                <w:lang w:val="pl-PL"/>
              </w:rPr>
              <w:lastRenderedPageBreak/>
              <w:t xml:space="preserve">prezesa Rady Ministrów Rzeczypospolitej Polskiej; przedstawia procedury powoływania i odwoływania rządu, używając określeń: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wotum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zaufania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,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konstruktywne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wotum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nieufności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,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wotum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nieufności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wobec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ministra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, </w:t>
            </w:r>
            <w:r w:rsidRPr="00853F2E">
              <w:rPr>
                <w:rFonts w:ascii="Cambria" w:hAnsi="Cambria" w:cs="TimesNewRoman"/>
                <w:i/>
                <w:iCs/>
                <w:lang w:val="pl-PL"/>
              </w:rPr>
              <w:t>dymisja</w:t>
            </w:r>
            <w:r w:rsidRPr="006553C4">
              <w:rPr>
                <w:rFonts w:ascii="Cambria" w:hAnsi="Cambria" w:cs="TimesNewRoman"/>
                <w:iCs/>
                <w:lang w:val="pl-PL"/>
              </w:rPr>
              <w:t xml:space="preserve"> (w tym w</w:t>
            </w:r>
            <w:r>
              <w:rPr>
                <w:rFonts w:ascii="Cambria" w:hAnsi="Cambria" w:cs="TimesNewRoman"/>
                <w:iCs/>
                <w:lang w:val="pl-PL"/>
              </w:rPr>
              <w:t> </w:t>
            </w:r>
            <w:r w:rsidRPr="006553C4">
              <w:rPr>
                <w:rFonts w:ascii="Cambria" w:hAnsi="Cambria" w:cs="TimesNewRoman"/>
                <w:iCs/>
                <w:lang w:val="pl-PL"/>
              </w:rPr>
              <w:t>wyniku skrócenia kadencji Sejmu Rzeczypospolitej Polskiej).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>
              <w:rPr>
                <w:rFonts w:ascii="Cambria" w:hAnsi="Cambria"/>
                <w:b/>
                <w:iCs/>
                <w:lang w:val="pl-PL"/>
              </w:rPr>
              <w:lastRenderedPageBreak/>
              <w:t>20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Władza sądownicza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Ustrojowa rola sądów i Trybunałów (zasada podziału i równowagi władz).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Konstytucyjna zasada niezależności sądów i niezawisłości sędziów.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Struktura i zadania sądownictwa powszechnego (dwuinstancyjność postępowania).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Rola i zadania Sądu Najwyższego.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Struktura i zadania sądownictwa administracyjnego.</w:t>
            </w: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III. Organy władzy publicznej w Rzeczypospolitej Polskiej.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10) przedstawia strukturę sądownictwa powszechnego i administracyjnego w Rzeczypospolitej Polskiej oraz zadania Sądu Najwyższego; uzasadnia potrzebę niezależności sądów i niezawisłości sędziów;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>
              <w:rPr>
                <w:rFonts w:ascii="Cambria" w:hAnsi="Cambria"/>
                <w:b/>
                <w:iCs/>
                <w:lang w:val="pl-PL"/>
              </w:rPr>
              <w:t>21</w:t>
            </w:r>
            <w:r w:rsidRPr="006553C4">
              <w:rPr>
                <w:rFonts w:ascii="Cambria" w:hAnsi="Cambria"/>
                <w:b/>
                <w:iCs/>
                <w:lang w:val="pl-PL"/>
              </w:rPr>
              <w:t>.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>
              <w:rPr>
                <w:rFonts w:ascii="Cambria" w:hAnsi="Cambria"/>
                <w:iCs/>
                <w:lang w:val="pl-PL"/>
              </w:rPr>
              <w:t xml:space="preserve">  Instyutcje strzegące praworządności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Konstytucyjna rola Najwyższej Izby Kontroli.</w:t>
            </w:r>
          </w:p>
          <w:p w:rsidR="003B388B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Zadania Najwyższej Izby Kontroli i przykłady podejmowanych przez nią działań (znaczenie instytucji dla funkcjonowania państwa prawa).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Konstytucyjna rola Trybunału Stanu i Trybunału Konstytucyjnego: 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</w:t>
            </w:r>
            <w:r w:rsidRPr="006553C4" w:rsidDel="009C1D00">
              <w:rPr>
                <w:rFonts w:ascii="Cambria" w:hAnsi="Cambria"/>
                <w:iCs/>
                <w:lang w:val="pl-PL"/>
              </w:rPr>
              <w:t xml:space="preserve"> </w:t>
            </w:r>
            <w:r w:rsidRPr="006553C4">
              <w:rPr>
                <w:rFonts w:ascii="Cambria" w:hAnsi="Cambria"/>
                <w:iCs/>
                <w:lang w:val="pl-PL"/>
              </w:rPr>
              <w:t xml:space="preserve">kompetencje obu Trybunałów, 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znaczenie tych instytucji dla funkcjonowania państwa prawa.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Rola i zadania organów ścigania w Polsce:</w:t>
            </w:r>
          </w:p>
          <w:p w:rsidR="003B388B" w:rsidRPr="006553C4" w:rsidRDefault="003B388B" w:rsidP="00E226C9">
            <w:pPr>
              <w:pStyle w:val="TabelaszerokaNormalny"/>
              <w:ind w:left="214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prokuratury,</w:t>
            </w:r>
          </w:p>
          <w:p w:rsidR="003B388B" w:rsidRPr="006553C4" w:rsidRDefault="003B388B" w:rsidP="00E226C9">
            <w:pPr>
              <w:pStyle w:val="TabelaszerokaNormalny"/>
              <w:ind w:left="214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</w:t>
            </w:r>
          </w:p>
          <w:p w:rsidR="003B388B" w:rsidRPr="006553C4" w:rsidRDefault="003B388B" w:rsidP="00E226C9">
            <w:pPr>
              <w:pStyle w:val="TabelaszerokaNormalny"/>
              <w:ind w:left="214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Instytutu Pamięci Narodowej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Zadania Rzecznika Praw Obywatelskich i przykłady podejmowanych przez niego działań.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III. Organy władzy publicznej w Rzeczypospolitej Polskiej. Uczeń: […]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11) przedstawia kompetencje Najwyższej Izby Kontroli</w:t>
            </w:r>
            <w:r>
              <w:rPr>
                <w:rFonts w:ascii="Cambria" w:hAnsi="Cambria" w:cs="TimesNewRoman"/>
                <w:iCs/>
                <w:lang w:val="pl-PL"/>
              </w:rPr>
              <w:t xml:space="preserve">, Trybunału Konstytucyjnego, Trybunału Stanu </w:t>
            </w:r>
            <w:r w:rsidRPr="006553C4">
              <w:rPr>
                <w:rFonts w:ascii="Cambria" w:hAnsi="Cambria" w:cs="TimesNewRoman"/>
                <w:iCs/>
                <w:lang w:val="pl-PL"/>
              </w:rPr>
              <w:t>i prokuratury w Rzeczypospolitej Polskiej; uzasadnia znaczenie tych instytucji dla funkcjonowania państwa prawa.</w:t>
            </w: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  <w:r>
              <w:rPr>
                <w:rFonts w:ascii="Cambria" w:hAnsi="Cambria"/>
                <w:b/>
                <w:iCs/>
                <w:lang w:val="pl-PL"/>
              </w:rPr>
              <w:lastRenderedPageBreak/>
              <w:t>22</w:t>
            </w: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  <w:r>
              <w:rPr>
                <w:rFonts w:ascii="Cambria" w:hAnsi="Cambria"/>
                <w:iCs/>
                <w:lang w:val="pl-PL"/>
              </w:rPr>
              <w:t>Samorząd terytorialny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Struktura samorządu terytorialnego w Polsce (gmina, powiat, województwo).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Podstawowe zadania jednostek samorządu terytorialnego.</w:t>
            </w:r>
          </w:p>
          <w:p w:rsidR="003B388B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Źródła finansowania zadań wykonywanych przez jednostki samorządu terytorialnego.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Organy stanowiące i wykonawcze samorządu terytorialnego na poziomie gminy, miasta na prawach powiatu, powiatu i województwa: 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sposób powoływania (zasady wyborów samorządowych),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kompetencje,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zależności między organami stanowiącymi i wykonawczymi w poszczególnych jednostkach samorządu terytorialnego.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 xml:space="preserve">Organy stanowiące i wykonawcze samorządu terytorialnego na poziomie gminy, miasta na prawach powiatu, powiatu i województwa: 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sposób powoływania (zasady wyborów samorządowych),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kompetencje,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zależności między organami stanowiącymi i wykonawczymi w poszczególnych jednostkach samorządu terytorialnego.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Wpływ obywateli na władze gminy:</w:t>
            </w:r>
          </w:p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budżet obywatelski,</w:t>
            </w:r>
          </w:p>
          <w:p w:rsidR="003B388B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– obywatelska inicjatywa uchwałodawcza.</w:t>
            </w:r>
          </w:p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Opracowanie materiałów promujących działania organów samorządu terytorialnego na poziomie powiatu lub województwa.</w:t>
            </w:r>
          </w:p>
          <w:p w:rsidR="003B388B" w:rsidRPr="006553C4" w:rsidRDefault="003B388B" w:rsidP="00E226C9">
            <w:pPr>
              <w:pStyle w:val="TabelaszerokaNormalny"/>
              <w:ind w:left="214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III. Organy władzy publicznej w Rzeczypospolitej Polskiej. Uczeń: […]</w:t>
            </w:r>
          </w:p>
          <w:p w:rsidR="003B388B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7) przedstawia zakres działania poszczególnych poziomów samorządu terytorialnego (gmina, powiat, województwo) w Rzeczypospolitej Polskiej, z uwzględnieniem struktury głównych kierunków wydatków budżetowych na te działania oraz źródeł ich finansowania.</w:t>
            </w:r>
          </w:p>
          <w:p w:rsidR="003B388B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8) przedstawia organy stanowiące i wykonawcze samorządu terytorialnego na poziomie gminy i miasta na prawach powiatu oraz powiatu i województwa w Rzeczypospolitej Polskiej; charakteryzuje kompetencje tych organów i zależności między nimi.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 w:cs="TimesNewRoman"/>
                <w:iCs/>
                <w:lang w:val="pl-PL"/>
              </w:rPr>
            </w:pPr>
            <w:r w:rsidRPr="006553C4">
              <w:rPr>
                <w:rFonts w:ascii="Cambria" w:hAnsi="Cambria" w:cs="TimesNewRoman"/>
                <w:iCs/>
                <w:lang w:val="pl-PL"/>
              </w:rPr>
              <w:t>9) przygotowuje opracowanie promujące działania organów wybranego samorządu terytorialnego na poziomie powiatu lub województwa w Rzeczypospolitej Polskiej.</w:t>
            </w:r>
          </w:p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3B388B">
            <w:pPr>
              <w:pStyle w:val="Tabelaszerokalistapunktowana"/>
              <w:tabs>
                <w:tab w:val="clear" w:pos="360"/>
              </w:tabs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</w:tr>
      <w:tr w:rsidR="003B388B" w:rsidRPr="00EC21CE" w:rsidTr="00E226C9">
        <w:tc>
          <w:tcPr>
            <w:tcW w:w="300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b/>
                <w:iCs/>
                <w:lang w:val="pl-PL"/>
              </w:rPr>
            </w:pPr>
          </w:p>
        </w:tc>
        <w:tc>
          <w:tcPr>
            <w:tcW w:w="766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2220" w:type="pct"/>
          </w:tcPr>
          <w:p w:rsidR="003B388B" w:rsidRPr="006553C4" w:rsidRDefault="003B388B" w:rsidP="00E226C9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ascii="Cambria" w:hAnsi="Cambria"/>
                <w:iCs/>
                <w:lang w:val="pl-PL"/>
              </w:rPr>
            </w:pPr>
          </w:p>
        </w:tc>
        <w:tc>
          <w:tcPr>
            <w:tcW w:w="1714" w:type="pct"/>
          </w:tcPr>
          <w:p w:rsidR="003B388B" w:rsidRPr="006553C4" w:rsidRDefault="003B388B" w:rsidP="00E226C9">
            <w:pPr>
              <w:pStyle w:val="TabelaszerokaNormalny"/>
              <w:rPr>
                <w:rFonts w:ascii="Cambria" w:hAnsi="Cambria"/>
                <w:iCs/>
                <w:lang w:val="pl-PL"/>
              </w:rPr>
            </w:pPr>
          </w:p>
        </w:tc>
      </w:tr>
      <w:tr w:rsidR="003B388B" w:rsidRPr="00EC21CE" w:rsidTr="00E226C9">
        <w:tc>
          <w:tcPr>
            <w:tcW w:w="5000" w:type="pct"/>
            <w:gridSpan w:val="4"/>
          </w:tcPr>
          <w:p w:rsidR="003B388B" w:rsidRPr="006553C4" w:rsidRDefault="003B388B" w:rsidP="00E226C9">
            <w:pPr>
              <w:pStyle w:val="TabelaszerokaNormalny"/>
              <w:jc w:val="center"/>
              <w:rPr>
                <w:rFonts w:ascii="Cambria" w:hAnsi="Cambria"/>
                <w:iCs/>
                <w:lang w:val="pl-PL"/>
              </w:rPr>
            </w:pPr>
            <w:r w:rsidRPr="006553C4">
              <w:rPr>
                <w:rFonts w:ascii="Cambria" w:hAnsi="Cambria"/>
                <w:iCs/>
                <w:lang w:val="pl-PL"/>
              </w:rPr>
              <w:t>Podsumowanie i test</w:t>
            </w:r>
          </w:p>
        </w:tc>
      </w:tr>
    </w:tbl>
    <w:p w:rsidR="003B388B" w:rsidRDefault="003B388B"/>
    <w:sectPr w:rsidR="003B3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9B" w:rsidRDefault="00B4509B" w:rsidP="00840EA2">
      <w:pPr>
        <w:spacing w:after="0" w:line="240" w:lineRule="auto"/>
      </w:pPr>
      <w:r>
        <w:separator/>
      </w:r>
    </w:p>
  </w:endnote>
  <w:endnote w:type="continuationSeparator" w:id="0">
    <w:p w:rsidR="00B4509B" w:rsidRDefault="00B4509B" w:rsidP="0084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A2" w:rsidRDefault="00840E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091194"/>
      <w:docPartObj>
        <w:docPartGallery w:val="Page Numbers (Bottom of Page)"/>
        <w:docPartUnique/>
      </w:docPartObj>
    </w:sdtPr>
    <w:sdtContent>
      <w:p w:rsidR="00840EA2" w:rsidRDefault="00840EA2" w:rsidP="00840EA2">
        <w:pPr>
          <w:pStyle w:val="Stopka"/>
        </w:pPr>
      </w:p>
      <w:p w:rsidR="00840EA2" w:rsidRDefault="00840EA2" w:rsidP="00840EA2">
        <w:pPr>
          <w:pStyle w:val="Stopka"/>
        </w:pPr>
        <w:bookmarkStart w:id="0" w:name="_GoBack"/>
        <w:bookmarkEnd w:id="0"/>
        <w:r>
          <w:t>Nowa Era Sp. z o.o.</w:t>
        </w:r>
      </w:p>
      <w:p w:rsidR="00840EA2" w:rsidRDefault="00840EA2" w:rsidP="00840EA2">
        <w:pPr>
          <w:pStyle w:val="Stopka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40EA2" w:rsidRDefault="00840E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A2" w:rsidRDefault="00840E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9B" w:rsidRDefault="00B4509B" w:rsidP="00840EA2">
      <w:pPr>
        <w:spacing w:after="0" w:line="240" w:lineRule="auto"/>
      </w:pPr>
      <w:r>
        <w:separator/>
      </w:r>
    </w:p>
  </w:footnote>
  <w:footnote w:type="continuationSeparator" w:id="0">
    <w:p w:rsidR="00B4509B" w:rsidRDefault="00B4509B" w:rsidP="0084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A2" w:rsidRDefault="00840E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A2" w:rsidRDefault="00840E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EA2" w:rsidRDefault="00840E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4F7C"/>
    <w:multiLevelType w:val="hybridMultilevel"/>
    <w:tmpl w:val="85B4B378"/>
    <w:lvl w:ilvl="0" w:tplc="85D009A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41"/>
    <w:rsid w:val="001C3F47"/>
    <w:rsid w:val="003B388B"/>
    <w:rsid w:val="00840EA2"/>
    <w:rsid w:val="00A12941"/>
    <w:rsid w:val="00AD7BF2"/>
    <w:rsid w:val="00B4509B"/>
    <w:rsid w:val="00C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BC4EB-5076-4729-816C-13D92728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Nagwek1">
    <w:name w:val="Tabela szeroka Nagłówek 1"/>
    <w:basedOn w:val="Tekstpodstawowy"/>
    <w:qFormat/>
    <w:rsid w:val="003B388B"/>
    <w:pPr>
      <w:spacing w:after="0" w:line="276" w:lineRule="auto"/>
      <w:textboxTightWrap w:val="allLines"/>
    </w:pPr>
    <w:rPr>
      <w:rFonts w:ascii="Times New Roman" w:eastAsia="Calibri" w:hAnsi="Times New Roman" w:cs="Times New Roman"/>
      <w:b/>
      <w:sz w:val="20"/>
      <w:szCs w:val="20"/>
      <w:lang w:val="x-none"/>
    </w:rPr>
  </w:style>
  <w:style w:type="paragraph" w:customStyle="1" w:styleId="TabelaszerokaNormalny">
    <w:name w:val="Tabela szeroka Normalny"/>
    <w:basedOn w:val="Tekstpodstawowy"/>
    <w:qFormat/>
    <w:rsid w:val="003B388B"/>
    <w:pPr>
      <w:suppressAutoHyphens/>
      <w:spacing w:after="0" w:line="276" w:lineRule="auto"/>
      <w:textboxTightWrap w:val="allLines"/>
    </w:pPr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Tabelaszerokalistapunktowana">
    <w:name w:val="Tabela szeroka lista punktowana"/>
    <w:basedOn w:val="Tekstpodstawowy"/>
    <w:qFormat/>
    <w:rsid w:val="003B388B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Times New Roman" w:eastAsia="Calibri" w:hAnsi="Times New Roman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38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388B"/>
  </w:style>
  <w:style w:type="paragraph" w:styleId="Nagwek">
    <w:name w:val="header"/>
    <w:basedOn w:val="Normalny"/>
    <w:link w:val="NagwekZnak"/>
    <w:uiPriority w:val="99"/>
    <w:unhideWhenUsed/>
    <w:rsid w:val="00840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EA2"/>
  </w:style>
  <w:style w:type="paragraph" w:styleId="Stopka">
    <w:name w:val="footer"/>
    <w:basedOn w:val="Normalny"/>
    <w:link w:val="StopkaZnak"/>
    <w:uiPriority w:val="99"/>
    <w:unhideWhenUsed/>
    <w:rsid w:val="00840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2824</Words>
  <Characters>16947</Characters>
  <Application>Microsoft Office Word</Application>
  <DocSecurity>0</DocSecurity>
  <Lines>141</Lines>
  <Paragraphs>39</Paragraphs>
  <ScaleCrop>false</ScaleCrop>
  <Company/>
  <LinksUpToDate>false</LinksUpToDate>
  <CharactersWithSpaces>19732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4</cp:revision>
  <dcterms:created xsi:type="dcterms:W3CDTF">2019-06-13T10:31:00Z</dcterms:created>
  <dcterms:modified xsi:type="dcterms:W3CDTF">2019-06-13T10:39:00Z</dcterms:modified>
</cp:coreProperties>
</file>